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widowControl w:val="false"/>
        <w:numPr>
          <w:ilvl w:val="0"/>
          <w:numId w:val="0"/>
        </w:numPr>
        <w:suppressAutoHyphens w:val="true"/>
        <w:spacing w:lineRule="atLeast" w:line="200" w:before="240" w:after="120"/>
        <w:ind w:left="-709" w:right="113" w:hanging="0"/>
        <w:jc w:val="center"/>
        <w:textAlignment w:val="baseline"/>
        <w:outlineLvl w:val="0"/>
        <w:rPr>
          <w:rFonts w:ascii="Open Sans" w:hAnsi="Open Sans" w:eastAsia="Mincho, msmincho" w:cs="Tahoma"/>
          <w:bCs/>
          <w:caps/>
          <w:color w:val="002060"/>
          <w:spacing w:val="10"/>
          <w:kern w:val="2"/>
          <w:sz w:val="68"/>
          <w:szCs w:val="28"/>
          <w:lang w:val="gl-ES" w:eastAsia="es-ES" w:bidi="gl-ES"/>
        </w:rPr>
      </w:pPr>
      <w:r>
        <w:rPr>
          <w:rFonts w:eastAsia="Mincho, msmincho" w:cs="Tahoma" w:ascii="Open Sans" w:hAnsi="Open Sans"/>
          <w:bCs/>
          <w:caps/>
          <w:color w:val="002060"/>
          <w:spacing w:val="10"/>
          <w:kern w:val="2"/>
          <w:sz w:val="40"/>
          <w:szCs w:val="32"/>
          <w:lang w:val="gl-ES" w:eastAsia="es-ES" w:bidi="gl-ES"/>
        </w:rPr>
        <w:t xml:space="preserve">Proyecto </w:t>
      </w:r>
      <w:r>
        <w:rPr>
          <w:rFonts w:eastAsia="Mincho, msmincho" w:cs="Tahoma" w:ascii="Open Sans" w:hAnsi="Open Sans"/>
          <w:bCs/>
          <w:caps/>
          <w:color w:val="002060"/>
          <w:spacing w:val="10"/>
          <w:kern w:val="2"/>
          <w:sz w:val="40"/>
          <w:szCs w:val="32"/>
          <w:lang w:val="gl-ES" w:eastAsia="es-ES" w:bidi="gl-ES"/>
        </w:rPr>
        <w:t>Cto</w:t>
      </w:r>
      <w:r>
        <w:rPr>
          <w:rFonts w:eastAsia="Copperplate Gothic Light" w:cs="Copperplate Gothic Light" w:ascii="Open Sans" w:hAnsi="Open Sans"/>
          <w:bCs/>
          <w:caps/>
          <w:color w:val="002060"/>
          <w:spacing w:val="10"/>
          <w:kern w:val="2"/>
          <w:sz w:val="40"/>
          <w:szCs w:val="32"/>
          <w:lang w:val="gl-ES" w:eastAsia="es-ES" w:bidi="gl-ES"/>
        </w:rPr>
        <w:t xml:space="preserve">. </w:t>
      </w:r>
      <w:r>
        <w:rPr>
          <w:rFonts w:eastAsia="Mincho, msmincho" w:cs="Tahoma" w:ascii="Open Sans" w:hAnsi="Open Sans"/>
          <w:bCs/>
          <w:caps/>
          <w:color w:val="002060"/>
          <w:spacing w:val="10"/>
          <w:kern w:val="2"/>
          <w:sz w:val="40"/>
          <w:szCs w:val="32"/>
          <w:lang w:val="gl-ES" w:eastAsia="es-ES" w:bidi="gl-ES"/>
        </w:rPr>
        <w:t>Gallego</w:t>
      </w:r>
      <w:r>
        <w:rPr>
          <w:rFonts w:eastAsia="Copperplate Gothic Light" w:cs="Copperplate Gothic Light" w:ascii="Open Sans" w:hAnsi="Open Sans"/>
          <w:bCs/>
          <w:caps/>
          <w:color w:val="002060"/>
          <w:spacing w:val="10"/>
          <w:kern w:val="2"/>
          <w:sz w:val="40"/>
          <w:szCs w:val="32"/>
          <w:lang w:val="gl-ES" w:eastAsia="es-ES" w:bidi="gl-ES"/>
        </w:rPr>
        <w:t xml:space="preserve"> </w:t>
      </w:r>
      <w:r>
        <w:rPr>
          <w:rFonts w:eastAsia="Mincho, msmincho" w:cs="Tahoma" w:ascii="Open Sans" w:hAnsi="Open Sans"/>
          <w:bCs/>
          <w:caps/>
          <w:color w:val="002060"/>
          <w:spacing w:val="10"/>
          <w:kern w:val="2"/>
          <w:sz w:val="40"/>
          <w:szCs w:val="32"/>
          <w:lang w:val="gl-ES" w:eastAsia="es-ES" w:bidi="gl-ES"/>
        </w:rPr>
        <w:t>de</w:t>
      </w:r>
      <w:r>
        <w:rPr>
          <w:rFonts w:eastAsia="Copperplate Gothic Light" w:cs="Copperplate Gothic Light" w:ascii="Open Sans" w:hAnsi="Open Sans"/>
          <w:bCs/>
          <w:caps/>
          <w:color w:val="002060"/>
          <w:spacing w:val="10"/>
          <w:kern w:val="2"/>
          <w:sz w:val="40"/>
          <w:szCs w:val="32"/>
          <w:lang w:val="gl-ES" w:eastAsia="es-ES" w:bidi="gl-ES"/>
        </w:rPr>
        <w:t xml:space="preserve"> N</w:t>
      </w:r>
      <w:r>
        <w:rPr>
          <w:rFonts w:eastAsia="Mincho, msmincho" w:cs="Tahoma" w:ascii="Open Sans" w:hAnsi="Open Sans"/>
          <w:bCs/>
          <w:caps/>
          <w:color w:val="002060"/>
          <w:spacing w:val="10"/>
          <w:kern w:val="2"/>
          <w:sz w:val="40"/>
          <w:szCs w:val="32"/>
          <w:lang w:val="gl-ES" w:eastAsia="es-ES" w:bidi="gl-ES"/>
        </w:rPr>
        <w:t>atación Infantil de Inverno</w:t>
      </w:r>
      <w:r>
        <w:rPr>
          <w:rFonts w:eastAsia="Mincho, msmincho" w:cs="Tahoma" w:ascii="Open Sans" w:hAnsi="Open Sans"/>
          <w:bCs/>
          <w:caps/>
          <w:color w:val="002060"/>
          <w:spacing w:val="10"/>
          <w:kern w:val="2"/>
          <w:sz w:val="68"/>
          <w:szCs w:val="28"/>
          <w:lang w:val="gl-ES" w:eastAsia="es-ES" w:bidi="gl-ES"/>
        </w:rPr>
        <w:t xml:space="preserve"> </w:t>
      </w:r>
      <w:r>
        <w:rPr>
          <w:rFonts w:eastAsia="Copperplate Gothic Light" w:cs="Copperplate Gothic Light" w:ascii="Open Sans" w:hAnsi="Open Sans"/>
          <w:caps/>
          <w:color w:val="000099"/>
          <w:kern w:val="2"/>
          <w:sz w:val="40"/>
          <w:szCs w:val="20"/>
          <w:lang w:val="gl-ES" w:eastAsia="zh-CN" w:bidi="es-ES"/>
        </w:rPr>
        <w:t>Xunta de Galicia</w:t>
      </w:r>
    </w:p>
    <w:p>
      <w:pPr>
        <w:pStyle w:val="Normal"/>
        <w:widowControl w:val="false"/>
        <w:suppressAutoHyphens w:val="true"/>
        <w:spacing w:lineRule="auto" w:line="240" w:before="113" w:after="0"/>
        <w:ind w:left="-709" w:right="113" w:hanging="0"/>
        <w:jc w:val="center"/>
        <w:textAlignment w:val="baseline"/>
        <w:rPr/>
      </w:pPr>
      <w:r>
        <w:rPr>
          <w:rFonts w:eastAsia="DejaVu Sans" w:cs="Tahoma" w:ascii="Open Sans" w:hAnsi="Open Sans"/>
          <w:kern w:val="2"/>
          <w:sz w:val="20"/>
          <w:szCs w:val="24"/>
          <w:lang w:val="gl-ES" w:eastAsia="es-ES" w:bidi="es-ES"/>
        </w:rPr>
        <w:t>Temporada</w:t>
      </w:r>
      <w:r>
        <w:rPr>
          <w:rFonts w:eastAsia="Eurasia, Calibri" w:cs="Eurasia, Calibri" w:ascii="Open Sans" w:hAnsi="Open Sans"/>
          <w:kern w:val="2"/>
          <w:sz w:val="20"/>
          <w:szCs w:val="24"/>
          <w:lang w:val="gl-ES" w:eastAsia="es-ES" w:bidi="es-ES"/>
        </w:rPr>
        <w:t xml:space="preserve"> </w:t>
      </w:r>
      <w:r>
        <w:rPr>
          <w:rFonts w:eastAsia="Eurasia, Calibri" w:cs="Eurasia, Calibri" w:ascii="Open Sans" w:hAnsi="Open Sans"/>
          <w:kern w:val="2"/>
          <w:sz w:val="20"/>
          <w:szCs w:val="24"/>
          <w:highlight w:val="yellow"/>
          <w:lang w:val="gl-ES" w:eastAsia="es-ES" w:bidi="es-ES"/>
        </w:rPr>
        <w:t>2024/2025</w:t>
      </w:r>
      <w:r>
        <w:rPr>
          <w:rFonts w:eastAsia="Eurasia, Calibri" w:cs="Eurasia, Calibri" w:ascii="Open Sans" w:hAnsi="Open Sans"/>
          <w:kern w:val="2"/>
          <w:sz w:val="20"/>
          <w:szCs w:val="24"/>
          <w:lang w:val="gl-ES" w:eastAsia="es-ES" w:bidi="es-ES"/>
        </w:rPr>
        <w:t xml:space="preserve">. </w:t>
      </w:r>
      <w:r>
        <w:rPr>
          <w:rFonts w:eastAsia="DejaVu Sans" w:cs="Tahoma" w:ascii="Open Sans" w:hAnsi="Open Sans"/>
          <w:kern w:val="2"/>
          <w:sz w:val="20"/>
          <w:szCs w:val="24"/>
          <w:lang w:val="gl-ES" w:eastAsia="es-ES" w:bidi="es-ES"/>
        </w:rPr>
        <w:t>Circular</w:t>
      </w:r>
      <w:r>
        <w:rPr>
          <w:rFonts w:eastAsia="Sanford, Calibri" w:cs="Eurasia, Calibri" w:ascii="Open Sans" w:hAnsi="Open Sans"/>
          <w:kern w:val="2"/>
          <w:sz w:val="20"/>
          <w:szCs w:val="24"/>
          <w:lang w:val="gl-ES" w:eastAsia="es-ES" w:bidi="es-ES"/>
        </w:rPr>
        <w:t xml:space="preserve"> </w:t>
      </w:r>
      <w:r>
        <w:rPr>
          <w:rFonts w:eastAsia="Sanford, Calibri" w:cs="Eurasia, Calibri" w:ascii="Open Sans" w:hAnsi="Open Sans"/>
          <w:color w:val="auto"/>
          <w:kern w:val="2"/>
          <w:sz w:val="20"/>
          <w:szCs w:val="24"/>
          <w:lang w:val="gl-ES" w:eastAsia="es-ES" w:bidi="es-ES"/>
        </w:rPr>
        <w:t>24-18</w:t>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28"/>
          <w:lang w:val="gl-ES" w:eastAsia="es-ES" w:bidi="gl-ES"/>
        </w:rPr>
      </w:pPr>
      <w:r>
        <w:rPr>
          <w:rFonts w:eastAsia="DejaVu Sans" w:cs="Sanford" w:ascii="Open Sans" w:hAnsi="Open Sans"/>
          <w:bCs/>
          <w:color w:val="002060"/>
          <w:spacing w:val="10"/>
          <w:kern w:val="2"/>
          <w:sz w:val="30"/>
          <w:szCs w:val="28"/>
          <w:lang w:val="gl-ES" w:eastAsia="es-ES" w:bidi="gl-ES"/>
        </w:rPr>
        <w:t>1.- Organización, fechas y sede</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DejaVu Sans" w:cs="Tahoma" w:ascii="Open Sans" w:hAnsi="Open Sans"/>
          <w:kern w:val="2"/>
          <w:sz w:val="20"/>
          <w:szCs w:val="24"/>
          <w:lang w:val="gl-ES" w:eastAsia="es-ES" w:bidi="gl-ES"/>
        </w:rPr>
        <w:t>1.1.- Se celebrará a nivel regional en dos jornadas en sesiones de mañana y tarde.</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DejaVu Sans" w:cs="Tahoma" w:ascii="Open Sans" w:hAnsi="Open Sans"/>
          <w:kern w:val="2"/>
          <w:sz w:val="20"/>
          <w:szCs w:val="24"/>
          <w:lang w:val="gl-ES" w:eastAsia="es-ES" w:bidi="gl-ES"/>
        </w:rPr>
        <w:t>1.2.- Las fechas y sede, serán las establecidas en el calendario de natación para la presente temporada</w:t>
        <w:br/>
        <w:t>1.3.- Las sesiones de mañana darán comienzo a las 10:00 h*. y las de tarde a las 17:00 h.*</w:t>
      </w:r>
    </w:p>
    <w:p>
      <w:pPr>
        <w:pStyle w:val="Normal"/>
        <w:widowControl w:val="false"/>
        <w:suppressAutoHyphens w:val="true"/>
        <w:spacing w:lineRule="auto" w:line="240"/>
        <w:ind w:left="-709" w:right="113" w:hanging="0"/>
        <w:jc w:val="left"/>
        <w:textAlignment w:val="baseline"/>
        <w:rPr>
          <w:rFonts w:ascii="Open Sans" w:hAnsi="Open Sans" w:eastAsia="Tahoma" w:cs="Tahoma"/>
          <w:kern w:val="2"/>
          <w:sz w:val="20"/>
          <w:szCs w:val="20"/>
          <w:lang w:val="gl-ES" w:eastAsia="es-ES"/>
        </w:rPr>
      </w:pPr>
      <w:r>
        <w:rPr>
          <w:rFonts w:eastAsia="Tahoma" w:cs="Tahoma" w:ascii="Open Sans" w:hAnsi="Open Sans"/>
          <w:kern w:val="2"/>
          <w:sz w:val="20"/>
          <w:szCs w:val="20"/>
          <w:lang w:val="gl-ES" w:eastAsia="es-ES"/>
        </w:rPr>
        <w:t>*El horario de inicio podrá modificarse en función de las inscripciones finales según criterio de la Comisión Técnica.</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DejaVu Sans" w:cs="Tahoma" w:ascii="Open Sans" w:hAnsi="Open Sans"/>
          <w:kern w:val="2"/>
          <w:sz w:val="20"/>
          <w:szCs w:val="24"/>
          <w:lang w:val="gl-ES" w:eastAsia="es-ES" w:bidi="gl-ES"/>
        </w:rPr>
        <w:t>1.4.- La piscina deberá estar la disposición de los equipos participantes por lo menos 1 hora y media  antes del inicio de cada sesión y media hora después de su finalización, así como la tarde de la 1ª jornada previa solicitud de los clubes interesados al club organizador. Los nadadores tienen derecho a realizar el calentamiento hasta 10 minutos antes de que comience la sesión.</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DejaVu Sans" w:cs="Tahoma" w:ascii="Open Sans" w:hAnsi="Open Sans"/>
          <w:kern w:val="2"/>
          <w:sz w:val="20"/>
          <w:szCs w:val="24"/>
          <w:lang w:val="gl-ES" w:eastAsia="es-ES" w:bidi="gl-ES"/>
        </w:rPr>
        <w:t>Si el campeonato se celebra en piscina de 25 metros, habrá turnos de calentamiento rotativos de 40´ durante las sesiones.</w:t>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28"/>
          <w:lang w:val="gl-ES" w:eastAsia="es-ES" w:bidi="gl-ES"/>
        </w:rPr>
      </w:pPr>
      <w:r>
        <w:rPr>
          <w:rFonts w:eastAsia="DejaVu Sans" w:cs="Sanford" w:ascii="Open Sans" w:hAnsi="Open Sans"/>
          <w:bCs/>
          <w:color w:val="002060"/>
          <w:spacing w:val="10"/>
          <w:kern w:val="2"/>
          <w:sz w:val="30"/>
          <w:szCs w:val="28"/>
          <w:lang w:val="gl-ES" w:eastAsia="es-ES" w:bidi="gl-ES"/>
        </w:rPr>
        <w:t xml:space="preserve">2.- Programa de pruebas </w:t>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28"/>
          <w:lang w:val="gl-ES" w:eastAsia="es-ES" w:bidi="gl-ES"/>
        </w:rPr>
      </w:pPr>
      <w:r>
        <w:rPr>
          <w:rFonts w:eastAsia="DejaVu Sans" w:cs="Sanford" w:ascii="Open Sans" w:hAnsi="Open Sans"/>
          <w:bCs/>
          <w:color w:val="002060"/>
          <w:spacing w:val="10"/>
          <w:kern w:val="2"/>
          <w:sz w:val="30"/>
          <w:szCs w:val="28"/>
          <w:lang w:val="gl-ES" w:eastAsia="es-ES" w:bidi="gl-ES"/>
        </w:rPr>
      </w:r>
    </w:p>
    <w:tbl>
      <w:tblPr>
        <w:tblW w:w="6680" w:type="dxa"/>
        <w:jc w:val="left"/>
        <w:tblInd w:w="974" w:type="dxa"/>
        <w:tblCellMar>
          <w:top w:w="0" w:type="dxa"/>
          <w:left w:w="70" w:type="dxa"/>
          <w:bottom w:w="0" w:type="dxa"/>
          <w:right w:w="70" w:type="dxa"/>
        </w:tblCellMar>
        <w:tblLook w:firstRow="0" w:noVBand="0" w:lastRow="0" w:firstColumn="0" w:lastColumn="0" w:noHBand="0" w:val="0000"/>
      </w:tblPr>
      <w:tblGrid>
        <w:gridCol w:w="412"/>
        <w:gridCol w:w="2928"/>
        <w:gridCol w:w="402"/>
        <w:gridCol w:w="2937"/>
      </w:tblGrid>
      <w:tr>
        <w:trPr>
          <w:trHeight w:val="300" w:hRule="atLeast"/>
        </w:trPr>
        <w:tc>
          <w:tcPr>
            <w:tcW w:w="3340" w:type="dxa"/>
            <w:gridSpan w:val="2"/>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eastAsia="Tahoma" w:cs="Tahoma"/>
                <w:kern w:val="2"/>
                <w:szCs w:val="24"/>
                <w:lang w:val="gl-ES" w:eastAsia="es-ES"/>
              </w:rPr>
            </w:pPr>
            <w:r>
              <w:rPr>
                <w:rFonts w:eastAsia="Times New Roman" w:cs="Calibri" w:ascii="Calibri" w:hAnsi="Calibri"/>
                <w:b/>
                <w:bCs/>
                <w:color w:val="000000"/>
                <w:sz w:val="22"/>
                <w:lang w:val="gl-ES" w:eastAsia="es-ES"/>
              </w:rPr>
              <w:t>Jornada 1: Sesión Mañana</w:t>
            </w:r>
          </w:p>
        </w:tc>
        <w:tc>
          <w:tcPr>
            <w:tcW w:w="3339" w:type="dxa"/>
            <w:gridSpan w:val="2"/>
            <w:tcBorders>
              <w:top w:val="single" w:sz="8" w:space="0" w:color="000000"/>
              <w:bottom w:val="single" w:sz="4" w:space="0" w:color="000000"/>
              <w:right w:val="single" w:sz="8" w:space="0" w:color="000000"/>
            </w:tcBorders>
            <w:shd w:color="auto" w:fill="auto" w:val="clear"/>
            <w:vAlign w:val="center"/>
          </w:tcPr>
          <w:p>
            <w:pPr>
              <w:pStyle w:val="Normal"/>
              <w:widowControl w:val="false"/>
              <w:spacing w:lineRule="auto" w:line="276"/>
              <w:jc w:val="center"/>
              <w:rPr>
                <w:rFonts w:eastAsia="Tahoma" w:cs="Tahoma"/>
                <w:kern w:val="2"/>
                <w:szCs w:val="24"/>
                <w:lang w:val="gl-ES" w:eastAsia="es-ES"/>
              </w:rPr>
            </w:pPr>
            <w:r>
              <w:rPr>
                <w:rFonts w:eastAsia="Times New Roman" w:cs="Calibri" w:ascii="Calibri" w:hAnsi="Calibri"/>
                <w:b/>
                <w:bCs/>
                <w:color w:val="000000"/>
                <w:sz w:val="22"/>
                <w:lang w:val="gl-ES" w:eastAsia="es-ES"/>
              </w:rPr>
              <w:t>Jornada 2: Sesión Mañana</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libre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21</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libre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libre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22</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400 libre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3</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400 estilos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23</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braza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espalda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24</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braza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espalda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25</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espalda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6</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mariposa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26</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espalda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7</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mariposa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27</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mariposa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8</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1500 libre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28</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50mariposa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9</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color w:val="FF0000"/>
                <w:sz w:val="20"/>
                <w:szCs w:val="20"/>
                <w:lang w:val="gl-ES" w:eastAsia="es-ES"/>
              </w:rPr>
            </w:pPr>
            <w:r>
              <w:rPr>
                <w:rFonts w:eastAsia="Times New Roman" w:cs="Calibri" w:ascii="Calibri" w:hAnsi="Calibri"/>
                <w:color w:val="FF0000"/>
                <w:sz w:val="20"/>
                <w:szCs w:val="20"/>
                <w:lang w:val="gl-ES" w:eastAsia="es-ES"/>
              </w:rPr>
              <w:t>100 estilos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29</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800 libre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 200 libre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30</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x100 libre femn.</w:t>
            </w:r>
          </w:p>
        </w:tc>
      </w:tr>
      <w:tr>
        <w:trPr>
          <w:trHeight w:val="270" w:hRule="atLeast"/>
        </w:trPr>
        <w:tc>
          <w:tcPr>
            <w:tcW w:w="3340" w:type="dxa"/>
            <w:gridSpan w:val="2"/>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 </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31</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x100 libre masc.</w:t>
            </w:r>
          </w:p>
        </w:tc>
      </w:tr>
      <w:tr>
        <w:trPr>
          <w:trHeight w:val="300" w:hRule="atLeast"/>
        </w:trPr>
        <w:tc>
          <w:tcPr>
            <w:tcW w:w="3340" w:type="dxa"/>
            <w:gridSpan w:val="2"/>
            <w:tcBorders>
              <w:top w:val="single" w:sz="4" w:space="0" w:color="000000"/>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eastAsia="Tahoma" w:cs="Tahoma"/>
                <w:kern w:val="2"/>
                <w:szCs w:val="24"/>
                <w:lang w:val="gl-ES" w:eastAsia="es-ES"/>
              </w:rPr>
            </w:pPr>
            <w:r>
              <w:rPr>
                <w:rFonts w:eastAsia="Times New Roman" w:cs="Calibri" w:ascii="Calibri" w:hAnsi="Calibri"/>
                <w:b/>
                <w:bCs/>
                <w:color w:val="000000"/>
                <w:sz w:val="22"/>
                <w:lang w:val="gl-ES" w:eastAsia="es-ES"/>
              </w:rPr>
              <w:t>Jornada 1: Sesión Tarde</w:t>
            </w:r>
          </w:p>
        </w:tc>
        <w:tc>
          <w:tcPr>
            <w:tcW w:w="3339" w:type="dxa"/>
            <w:gridSpan w:val="2"/>
            <w:tcBorders>
              <w:top w:val="single" w:sz="4" w:space="0" w:color="000000"/>
              <w:bottom w:val="single" w:sz="4" w:space="0" w:color="000000"/>
              <w:right w:val="single" w:sz="8" w:space="0" w:color="000000"/>
            </w:tcBorders>
            <w:shd w:color="auto" w:fill="auto" w:val="clear"/>
            <w:vAlign w:val="center"/>
          </w:tcPr>
          <w:p>
            <w:pPr>
              <w:pStyle w:val="Normal"/>
              <w:widowControl w:val="false"/>
              <w:spacing w:lineRule="auto" w:line="276"/>
              <w:jc w:val="center"/>
              <w:rPr>
                <w:rFonts w:eastAsia="Tahoma" w:cs="Tahoma"/>
                <w:kern w:val="2"/>
                <w:szCs w:val="24"/>
                <w:lang w:val="gl-ES" w:eastAsia="es-ES"/>
              </w:rPr>
            </w:pPr>
            <w:r>
              <w:rPr>
                <w:rFonts w:eastAsia="Times New Roman" w:cs="Calibri" w:ascii="Calibri" w:hAnsi="Calibri"/>
                <w:b/>
                <w:bCs/>
                <w:color w:val="000000"/>
                <w:sz w:val="22"/>
                <w:lang w:val="gl-ES" w:eastAsia="es-ES"/>
              </w:rPr>
              <w:t>Jornada 2: Sesión Tarde</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11</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libre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32</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libre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12</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libre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33</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400 libre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13</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400 estilos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34</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mariposa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14</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braza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35</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mariposa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15</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braza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36</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estilos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16</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100 espalda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37</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200 estilos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17</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espalda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38</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braza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18</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1500 libre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39</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50 braza masc.</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19</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color w:val="FF0000"/>
                <w:sz w:val="20"/>
                <w:szCs w:val="20"/>
                <w:lang w:val="gl-ES" w:eastAsia="es-ES"/>
              </w:rPr>
            </w:pPr>
            <w:r>
              <w:rPr>
                <w:rFonts w:eastAsia="Times New Roman" w:cs="Calibri" w:ascii="Calibri" w:hAnsi="Calibri"/>
                <w:color w:val="FF0000"/>
                <w:sz w:val="20"/>
                <w:szCs w:val="20"/>
                <w:lang w:val="gl-ES" w:eastAsia="es-ES"/>
              </w:rPr>
              <w:t>100 estilos femn.*</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40</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800 libre femn.</w:t>
            </w:r>
          </w:p>
        </w:tc>
      </w:tr>
      <w:tr>
        <w:trPr>
          <w:trHeight w:val="270" w:hRule="atLeast"/>
        </w:trPr>
        <w:tc>
          <w:tcPr>
            <w:tcW w:w="412" w:type="dxa"/>
            <w:tcBorders>
              <w:left w:val="single" w:sz="8" w:space="0" w:color="000000"/>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20</w:t>
            </w:r>
          </w:p>
        </w:tc>
        <w:tc>
          <w:tcPr>
            <w:tcW w:w="2928" w:type="dxa"/>
            <w:tcBorders>
              <w:bottom w:val="single" w:sz="4" w:space="0" w:color="000000"/>
              <w:right w:val="single" w:sz="4"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 200 libre masc.</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41</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 100 estilos femn.</w:t>
            </w:r>
          </w:p>
        </w:tc>
      </w:tr>
      <w:tr>
        <w:trPr>
          <w:trHeight w:val="270" w:hRule="atLeast"/>
        </w:trPr>
        <w:tc>
          <w:tcPr>
            <w:tcW w:w="3340" w:type="dxa"/>
            <w:gridSpan w:val="2"/>
            <w:tcBorders>
              <w:top w:val="single" w:sz="4" w:space="0" w:color="000000"/>
              <w:left w:val="single" w:sz="8" w:space="0" w:color="000000"/>
              <w:bottom w:val="single" w:sz="8"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 </w:t>
            </w:r>
          </w:p>
        </w:tc>
        <w:tc>
          <w:tcPr>
            <w:tcW w:w="402" w:type="dxa"/>
            <w:tcBorders>
              <w:bottom w:val="single" w:sz="4" w:space="0" w:color="000000"/>
              <w:right w:val="single" w:sz="4" w:space="0" w:color="000000"/>
            </w:tcBorders>
            <w:shd w:color="auto" w:fill="auto" w:val="clear"/>
            <w:vAlign w:val="center"/>
          </w:tcPr>
          <w:p>
            <w:pPr>
              <w:pStyle w:val="Normal"/>
              <w:widowControl w:val="false"/>
              <w:spacing w:lineRule="auto" w:line="276"/>
              <w:jc w:val="center"/>
              <w:rPr>
                <w:rFonts w:ascii="Calibri" w:hAnsi="Calibri" w:eastAsia="Times New Roman" w:cs="Calibri"/>
                <w:color w:val="000000"/>
                <w:sz w:val="20"/>
                <w:szCs w:val="20"/>
                <w:lang w:val="gl-ES" w:eastAsia="es-ES"/>
              </w:rPr>
            </w:pPr>
            <w:r>
              <w:rPr>
                <w:rFonts w:eastAsia="Times New Roman" w:cs="Calibri" w:ascii="Calibri" w:hAnsi="Calibri"/>
                <w:color w:val="000000"/>
                <w:sz w:val="20"/>
                <w:szCs w:val="20"/>
                <w:lang w:val="gl-ES" w:eastAsia="es-ES"/>
              </w:rPr>
              <w:t>42</w:t>
            </w:r>
          </w:p>
        </w:tc>
        <w:tc>
          <w:tcPr>
            <w:tcW w:w="2937" w:type="dxa"/>
            <w:tcBorders>
              <w:bottom w:val="single" w:sz="4" w:space="0" w:color="000000"/>
              <w:right w:val="single" w:sz="8" w:space="0" w:color="000000"/>
            </w:tcBorders>
            <w:shd w:color="auto" w:fill="auto" w:val="clear"/>
            <w:vAlign w:val="center"/>
          </w:tcPr>
          <w:p>
            <w:pPr>
              <w:pStyle w:val="Normal"/>
              <w:widowControl w:val="false"/>
              <w:spacing w:lineRule="auto" w:line="276"/>
              <w:jc w:val="left"/>
              <w:rPr>
                <w:rFonts w:ascii="Calibri" w:hAnsi="Calibri" w:eastAsia="Times New Roman" w:cs="Calibri"/>
                <w:sz w:val="20"/>
                <w:szCs w:val="20"/>
                <w:lang w:val="gl-ES" w:eastAsia="es-ES"/>
              </w:rPr>
            </w:pPr>
            <w:r>
              <w:rPr>
                <w:rFonts w:eastAsia="Times New Roman" w:cs="Calibri" w:ascii="Calibri" w:hAnsi="Calibri"/>
                <w:sz w:val="20"/>
                <w:szCs w:val="20"/>
                <w:lang w:val="gl-ES" w:eastAsia="es-ES"/>
              </w:rPr>
              <w:t>4 x 100 estilos masc.</w:t>
            </w:r>
          </w:p>
        </w:tc>
      </w:tr>
    </w:tbl>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FF0000"/>
          <w:spacing w:val="10"/>
          <w:kern w:val="2"/>
          <w:sz w:val="20"/>
          <w:szCs w:val="30"/>
          <w:lang w:val="gl-ES" w:eastAsia="es-ES" w:bidi="gl-ES"/>
        </w:rPr>
      </w:pPr>
      <w:r>
        <w:rPr>
          <w:rFonts w:eastAsia="DejaVu Sans" w:cs="Sanford" w:ascii="Open Sans" w:hAnsi="Open Sans"/>
          <w:bCs/>
          <w:color w:val="FF0000"/>
          <w:spacing w:val="10"/>
          <w:kern w:val="2"/>
          <w:sz w:val="20"/>
          <w:szCs w:val="30"/>
          <w:lang w:val="gl-ES" w:eastAsia="es-ES" w:bidi="gl-ES"/>
        </w:rPr>
        <w:t>*solo se disputará si el campeonato se celebra en piscina de 25metros.</w:t>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30"/>
          <w:lang w:val="gl-ES" w:eastAsia="es-ES" w:bidi="gl-ES"/>
        </w:rPr>
      </w:pPr>
      <w:r>
        <w:rPr>
          <w:rFonts w:eastAsia="DejaVu Sans" w:cs="Sanford" w:ascii="Open Sans" w:hAnsi="Open Sans"/>
          <w:bCs/>
          <w:color w:val="002060"/>
          <w:spacing w:val="10"/>
          <w:kern w:val="2"/>
          <w:sz w:val="30"/>
          <w:szCs w:val="30"/>
          <w:lang w:val="gl-ES" w:eastAsia="es-ES" w:bidi="gl-ES"/>
        </w:rPr>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30"/>
          <w:lang w:val="gl-ES" w:eastAsia="es-ES" w:bidi="gl-ES"/>
        </w:rPr>
      </w:pPr>
      <w:r>
        <w:rPr>
          <w:rFonts w:eastAsia="DejaVu Sans" w:cs="Sanford" w:ascii="Open Sans" w:hAnsi="Open Sans"/>
          <w:bCs/>
          <w:color w:val="002060"/>
          <w:spacing w:val="10"/>
          <w:kern w:val="2"/>
          <w:sz w:val="30"/>
          <w:szCs w:val="30"/>
          <w:lang w:val="gl-ES" w:eastAsia="es-ES" w:bidi="gl-ES"/>
        </w:rPr>
        <w:t>3.- Participación</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Eurasia, Calibri" w:cs="Eurasia, Calibri" w:ascii="Open Sans" w:hAnsi="Open Sans"/>
          <w:kern w:val="2"/>
          <w:sz w:val="20"/>
          <w:szCs w:val="24"/>
          <w:lang w:val="gl-ES" w:eastAsia="es-ES" w:bidi="gl-ES"/>
        </w:rPr>
        <w:t xml:space="preserve">3.1.- La </w:t>
      </w:r>
      <w:r>
        <w:rPr>
          <w:rFonts w:eastAsia="DejaVu Sans" w:cs="Tahoma" w:ascii="Open Sans" w:hAnsi="Open Sans"/>
          <w:kern w:val="2"/>
          <w:sz w:val="20"/>
          <w:szCs w:val="24"/>
          <w:lang w:val="gl-ES" w:eastAsia="es-ES" w:bidi="gl-ES"/>
        </w:rPr>
        <w:t>presente</w:t>
      </w:r>
      <w:r>
        <w:rPr>
          <w:rFonts w:eastAsia="Eurasia, Calibri" w:cs="Eurasia, Calibri" w:ascii="Open Sans" w:hAnsi="Open Sans"/>
          <w:kern w:val="2"/>
          <w:sz w:val="20"/>
          <w:szCs w:val="24"/>
          <w:lang w:val="gl-ES" w:eastAsia="es-ES" w:bidi="gl-ES"/>
        </w:rPr>
        <w:t xml:space="preserve"> </w:t>
      </w:r>
      <w:r>
        <w:rPr>
          <w:rFonts w:eastAsia="DejaVu Sans" w:cs="Tahoma" w:ascii="Open Sans" w:hAnsi="Open Sans"/>
          <w:kern w:val="2"/>
          <w:sz w:val="20"/>
          <w:szCs w:val="24"/>
          <w:lang w:val="gl-ES" w:eastAsia="es-ES" w:bidi="gl-ES"/>
        </w:rPr>
        <w:t>normativa</w:t>
      </w:r>
      <w:r>
        <w:rPr>
          <w:rFonts w:eastAsia="Eurasia, Calibri" w:cs="Eurasia, Calibri" w:ascii="Open Sans" w:hAnsi="Open Sans"/>
          <w:kern w:val="2"/>
          <w:sz w:val="20"/>
          <w:szCs w:val="24"/>
          <w:lang w:val="gl-ES" w:eastAsia="es-ES" w:bidi="gl-ES"/>
        </w:rPr>
        <w:t xml:space="preserve"> </w:t>
      </w:r>
      <w:r>
        <w:rPr>
          <w:rFonts w:eastAsia="DejaVu Sans" w:cs="Tahoma" w:ascii="Open Sans" w:hAnsi="Open Sans"/>
          <w:kern w:val="2"/>
          <w:sz w:val="20"/>
          <w:szCs w:val="24"/>
          <w:lang w:val="gl-ES" w:eastAsia="es-ES" w:bidi="gl-ES"/>
        </w:rPr>
        <w:t>está</w:t>
      </w:r>
      <w:r>
        <w:rPr>
          <w:rFonts w:eastAsia="Eurasia, Calibri" w:cs="Eurasia, Calibri" w:ascii="Open Sans" w:hAnsi="Open Sans"/>
          <w:kern w:val="2"/>
          <w:sz w:val="20"/>
          <w:szCs w:val="24"/>
          <w:lang w:val="gl-ES" w:eastAsia="es-ES" w:bidi="gl-ES"/>
        </w:rPr>
        <w:t xml:space="preserve"> </w:t>
      </w:r>
      <w:r>
        <w:rPr>
          <w:rFonts w:eastAsia="DejaVu Sans" w:cs="Tahoma" w:ascii="Open Sans" w:hAnsi="Open Sans"/>
          <w:kern w:val="2"/>
          <w:sz w:val="20"/>
          <w:szCs w:val="24"/>
          <w:lang w:val="gl-ES" w:eastAsia="es-ES" w:bidi="gl-ES"/>
        </w:rPr>
        <w:t>destinada</w:t>
      </w:r>
      <w:r>
        <w:rPr>
          <w:rFonts w:eastAsia="Eurasia, Calibri" w:cs="Eurasia, Calibri" w:ascii="Open Sans" w:hAnsi="Open Sans"/>
          <w:kern w:val="2"/>
          <w:sz w:val="20"/>
          <w:szCs w:val="24"/>
          <w:lang w:val="gl-ES" w:eastAsia="es-ES" w:bidi="gl-ES"/>
        </w:rPr>
        <w:t xml:space="preserve"> </w:t>
      </w:r>
      <w:r>
        <w:rPr>
          <w:rFonts w:eastAsia="DejaVu Sans" w:cs="Tahoma" w:ascii="Open Sans" w:hAnsi="Open Sans"/>
          <w:kern w:val="2"/>
          <w:sz w:val="20"/>
          <w:szCs w:val="24"/>
          <w:lang w:val="gl-ES" w:eastAsia="es-ES" w:bidi="gl-ES"/>
        </w:rPr>
        <w:t>a las siguientes</w:t>
      </w:r>
      <w:r>
        <w:rPr>
          <w:rFonts w:eastAsia="Eurasia, Calibri" w:cs="Eurasia, Calibri" w:ascii="Open Sans" w:hAnsi="Open Sans"/>
          <w:kern w:val="2"/>
          <w:sz w:val="20"/>
          <w:szCs w:val="24"/>
          <w:lang w:val="gl-ES" w:eastAsia="es-ES" w:bidi="gl-ES"/>
        </w:rPr>
        <w:t xml:space="preserve"> </w:t>
      </w:r>
      <w:r>
        <w:rPr>
          <w:rFonts w:eastAsia="DejaVu Sans" w:cs="Tahoma" w:ascii="Open Sans" w:hAnsi="Open Sans"/>
          <w:kern w:val="2"/>
          <w:sz w:val="20"/>
          <w:szCs w:val="24"/>
          <w:lang w:val="gl-ES" w:eastAsia="es-ES" w:bidi="gl-ES"/>
        </w:rPr>
        <w:t>categorías</w:t>
      </w:r>
      <w:r>
        <w:rPr>
          <w:rFonts w:eastAsia="Eurasia, Calibri" w:cs="Eurasia, Calibri" w:ascii="Open Sans" w:hAnsi="Open Sans"/>
          <w:kern w:val="2"/>
          <w:sz w:val="20"/>
          <w:szCs w:val="24"/>
          <w:lang w:val="gl-ES" w:eastAsia="es-ES" w:bidi="gl-ES"/>
        </w:rPr>
        <w:t>:</w:t>
      </w:r>
    </w:p>
    <w:p>
      <w:pPr>
        <w:pStyle w:val="Normal"/>
        <w:widowControl w:val="false"/>
        <w:numPr>
          <w:ilvl w:val="0"/>
          <w:numId w:val="1"/>
        </w:numPr>
        <w:tabs>
          <w:tab w:val="clear" w:pos="709"/>
          <w:tab w:val="left" w:pos="-6480" w:leader="none"/>
        </w:tabs>
        <w:suppressAutoHyphens w:val="true"/>
        <w:spacing w:lineRule="auto" w:line="276" w:before="113" w:after="0"/>
        <w:ind w:left="-709" w:right="113" w:firstLine="142"/>
        <w:jc w:val="left"/>
        <w:textAlignment w:val="baseline"/>
        <w:rPr>
          <w:rFonts w:ascii="Open Sans" w:hAnsi="Open Sans" w:eastAsia="DejaVu Sans" w:cs="Tahoma"/>
          <w:kern w:val="2"/>
          <w:sz w:val="20"/>
          <w:szCs w:val="24"/>
          <w:highlight w:val="yellow"/>
          <w:lang w:val="gl-ES" w:eastAsia="es-ES" w:bidi="gl-ES"/>
        </w:rPr>
      </w:pPr>
      <w:r>
        <w:rPr>
          <w:rFonts w:eastAsia="Open Sans" w:cs="Open Sans" w:ascii="Open Sans" w:hAnsi="Open Sans"/>
          <w:kern w:val="2"/>
          <w:sz w:val="20"/>
          <w:szCs w:val="24"/>
          <w:lang w:val="gl-ES" w:eastAsia="es-ES" w:bidi="gl-ES"/>
        </w:rPr>
        <w:t xml:space="preserve"> </w:t>
      </w:r>
      <w:r>
        <w:rPr>
          <w:rFonts w:eastAsia="DejaVu Sans" w:cs="Tahoma" w:ascii="Open Sans" w:hAnsi="Open Sans"/>
          <w:kern w:val="2"/>
          <w:sz w:val="20"/>
          <w:szCs w:val="24"/>
          <w:highlight w:val="yellow"/>
          <w:lang w:val="gl-ES" w:eastAsia="es-ES" w:bidi="gl-ES"/>
        </w:rPr>
        <w:t>Infantil masculino: 2010 - 2011</w:t>
      </w:r>
    </w:p>
    <w:p>
      <w:pPr>
        <w:pStyle w:val="Normal"/>
        <w:widowControl w:val="false"/>
        <w:numPr>
          <w:ilvl w:val="0"/>
          <w:numId w:val="2"/>
        </w:numPr>
        <w:tabs>
          <w:tab w:val="clear" w:pos="709"/>
          <w:tab w:val="left" w:pos="-6480" w:leader="none"/>
        </w:tabs>
        <w:suppressAutoHyphens w:val="true"/>
        <w:spacing w:lineRule="auto" w:line="276" w:before="113" w:after="0"/>
        <w:ind w:left="-709" w:right="113" w:firstLine="142"/>
        <w:jc w:val="left"/>
        <w:textAlignment w:val="baseline"/>
        <w:rPr>
          <w:rFonts w:ascii="Open Sans" w:hAnsi="Open Sans" w:eastAsia="DejaVu Sans" w:cs="Tahoma"/>
          <w:kern w:val="2"/>
          <w:sz w:val="20"/>
          <w:szCs w:val="24"/>
          <w:highlight w:val="yellow"/>
          <w:lang w:val="gl-ES" w:eastAsia="es-ES" w:bidi="gl-ES"/>
        </w:rPr>
      </w:pPr>
      <w:r>
        <w:rPr>
          <w:rFonts w:eastAsia="Open Sans" w:cs="Open Sans" w:ascii="Open Sans" w:hAnsi="Open Sans"/>
          <w:kern w:val="2"/>
          <w:sz w:val="20"/>
          <w:szCs w:val="24"/>
          <w:highlight w:val="yellow"/>
          <w:lang w:val="gl-ES" w:eastAsia="es-ES" w:bidi="gl-ES"/>
        </w:rPr>
        <w:t xml:space="preserve"> </w:t>
      </w:r>
      <w:r>
        <w:rPr>
          <w:rFonts w:eastAsia="DejaVu Sans" w:cs="Tahoma" w:ascii="Open Sans" w:hAnsi="Open Sans"/>
          <w:kern w:val="2"/>
          <w:sz w:val="20"/>
          <w:szCs w:val="24"/>
          <w:highlight w:val="yellow"/>
          <w:lang w:val="gl-ES" w:eastAsia="es-ES" w:bidi="gl-ES"/>
        </w:rPr>
        <w:t>Infantil feminino: 2010 - 2011</w:t>
      </w:r>
    </w:p>
    <w:p>
      <w:pPr>
        <w:pStyle w:val="Normal"/>
        <w:widowControl w:val="false"/>
        <w:numPr>
          <w:ilvl w:val="0"/>
          <w:numId w:val="2"/>
        </w:numPr>
        <w:tabs>
          <w:tab w:val="clear" w:pos="709"/>
          <w:tab w:val="left" w:pos="-6480" w:leader="none"/>
        </w:tabs>
        <w:suppressAutoHyphens w:val="true"/>
        <w:spacing w:lineRule="auto" w:line="276" w:before="113" w:after="0"/>
        <w:ind w:left="-709" w:right="113" w:firstLine="142"/>
        <w:jc w:val="left"/>
        <w:textAlignment w:val="baseline"/>
        <w:rPr>
          <w:rFonts w:ascii="Open Sans" w:hAnsi="Open Sans" w:eastAsia="DejaVu Sans" w:cs="Tahoma"/>
          <w:kern w:val="2"/>
          <w:sz w:val="20"/>
          <w:szCs w:val="24"/>
          <w:lang w:val="gl-ES" w:eastAsia="es-ES" w:bidi="gl-ES"/>
        </w:rPr>
      </w:pPr>
      <w:r>
        <w:rPr>
          <w:rFonts w:eastAsia="DejaVu Sans" w:cs="Tahoma" w:ascii="Open Sans" w:hAnsi="Open Sans"/>
          <w:kern w:val="2"/>
          <w:sz w:val="20"/>
          <w:szCs w:val="24"/>
          <w:lang w:val="gl-ES" w:eastAsia="es-ES" w:bidi="gl-ES"/>
        </w:rPr>
        <w:t xml:space="preserve"> </w:t>
      </w:r>
      <w:r>
        <w:rPr>
          <w:rFonts w:eastAsia="DejaVu Sans" w:cs="Tahoma" w:ascii="Open Sans" w:hAnsi="Open Sans"/>
          <w:kern w:val="2"/>
          <w:sz w:val="20"/>
          <w:szCs w:val="24"/>
          <w:lang w:val="gl-ES" w:eastAsia="es-ES" w:bidi="gl-ES"/>
        </w:rPr>
        <w:t>Nadadores con discapacidad funcional y/o visual de las anteriores categorías.</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3.2.- La participación está abierta a todos los nadadores que acrediten tener realizadas las marcas mínimas establecidas. Para los nadadores con discapacidad funcional y/o visual habrá una sola marca mínima.</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Eurasia, Calibri" w:cs="Eurasia, Calibri" w:ascii="Open Sans" w:hAnsi="Open Sans"/>
          <w:kern w:val="2"/>
          <w:sz w:val="20"/>
          <w:szCs w:val="24"/>
          <w:lang w:val="gl-ES" w:eastAsia="es-ES" w:bidi="gl-ES"/>
        </w:rPr>
        <w:t>3.3.- Cada nadador podrá participar como máximo en cuatro pruebas individuales en todo el campeonato y en los relevos. Los nadadores con discapacidad funcional y/o visual solo podrán nadar las pruebas indicadas en el Anexo I.</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3.4.- No existe limitación en cuanto al número de nadadores por club y prueba.</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3.5.- Cada club podrá inscribir un solo equipo de relevos por prueba y categoría. La inscripción de los relevos podrá ser por suma de tiempos o por marca de relevo.</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3.6.- Un nadador que no participe en una prueba para la que esté inscrito no podrá participar en ninguna otra en la misma sesión, excepto si fuera dado de baja, según las normas del Art. 9 del libro IV del Reglamento General de la FEGAN.</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30"/>
          <w:lang w:val="gl-ES" w:eastAsia="es-ES" w:bidi="gl-ES"/>
        </w:rPr>
      </w:pPr>
      <w:r>
        <w:rPr>
          <w:rFonts w:eastAsia="DejaVu Sans" w:cs="Sanford" w:ascii="Open Sans" w:hAnsi="Open Sans"/>
          <w:bCs/>
          <w:color w:val="002060"/>
          <w:spacing w:val="10"/>
          <w:kern w:val="2"/>
          <w:sz w:val="30"/>
          <w:szCs w:val="30"/>
          <w:lang w:val="gl-ES" w:eastAsia="es-ES" w:bidi="gl-ES"/>
        </w:rPr>
        <w:t>4.- Inscripciones</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Eurasia, Calibri" w:cs="Eurasia, Calibri" w:ascii="Open Sans" w:hAnsi="Open Sans"/>
          <w:kern w:val="2"/>
          <w:sz w:val="20"/>
          <w:szCs w:val="24"/>
          <w:lang w:val="gl-ES" w:eastAsia="es-ES" w:bidi="gl-ES"/>
        </w:rPr>
        <w:t xml:space="preserve">4.1.- </w:t>
      </w:r>
      <w:r>
        <w:rPr>
          <w:rFonts w:eastAsia="Eurasia" w:cs="Eurasia" w:ascii="Open Sans" w:hAnsi="Open Sans"/>
          <w:kern w:val="2"/>
          <w:sz w:val="20"/>
          <w:szCs w:val="24"/>
          <w:lang w:val="gl-ES" w:eastAsia="es-ES" w:bidi="gl-ES"/>
        </w:rPr>
        <w:t>Se realizarán a través del LEVERADE y el acta de preinscripción que el propio programa genera, será remitida a la Federación por correo electrónico (inscricions@fegan.org). Junto con el dicho archivo se remitirá, en el mismo correo, el comprobante del pagado de la inscripción.</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Eurasia, Calibri" w:cs="Eurasia, Calibri" w:ascii="Open Sans" w:hAnsi="Open Sans"/>
          <w:kern w:val="2"/>
          <w:sz w:val="20"/>
          <w:szCs w:val="24"/>
          <w:highlight w:val="yellow"/>
          <w:lang w:val="gl-ES" w:eastAsia="es-ES" w:bidi="gl-ES"/>
        </w:rPr>
        <w:t>4.2.- Las inscripciones para el campeonato deberá obrar en poder de la FEGAN 15 días antes del comienzo de la competición,</w:t>
      </w:r>
      <w:r>
        <w:rPr>
          <w:rFonts w:eastAsia="Eurasia, Calibri" w:cs="Eurasia, Calibri" w:ascii="Open Sans" w:hAnsi="Open Sans"/>
          <w:color w:val="FF0000"/>
          <w:kern w:val="2"/>
          <w:sz w:val="20"/>
          <w:szCs w:val="24"/>
          <w:highlight w:val="yellow"/>
          <w:lang w:val="gl-ES" w:eastAsia="es-ES" w:bidi="gl-ES"/>
        </w:rPr>
        <w:t xml:space="preserve"> </w:t>
      </w:r>
      <w:r>
        <w:rPr>
          <w:rFonts w:eastAsia="Eurasia, Calibri" w:cs="Eurasia, Calibri" w:ascii="Open Sans" w:hAnsi="Open Sans"/>
          <w:kern w:val="2"/>
          <w:sz w:val="20"/>
          <w:szCs w:val="24"/>
          <w:highlight w:val="yellow"/>
          <w:lang w:val="gl-ES" w:eastAsia="es-ES" w:bidi="gl-ES"/>
        </w:rPr>
        <w:t>siendo responsabilidad del club que realiza la inscripción asegurarse de que fue recibida por la FEGAN. No se admitirám inscripciones fuera de plazo.</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4.3.- Deberán inscribirse también los nadadores que participen en relevos, remitiendo el impreso correspondiente junto con la citada acta de preinscripción.</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4.4.- Los nadadores con discapacidad realizarán la inscripción segundo el Anexo II de la presente normativa.</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30"/>
          <w:lang w:val="gl-ES" w:eastAsia="es-ES" w:bidi="gl-ES"/>
        </w:rPr>
      </w:pPr>
      <w:r>
        <w:rPr>
          <w:rFonts w:eastAsia="DejaVu Sans" w:cs="Sanford" w:ascii="Open Sans" w:hAnsi="Open Sans"/>
          <w:bCs/>
          <w:color w:val="002060"/>
          <w:spacing w:val="10"/>
          <w:kern w:val="2"/>
          <w:sz w:val="30"/>
          <w:szCs w:val="30"/>
          <w:lang w:val="gl-ES" w:eastAsia="es-ES" w:bidi="gl-ES"/>
        </w:rPr>
        <w:t>5.- Fórmula de competición</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5.1.- Todas las pruebas serán disputadas contra-reloj.</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5.2- Los criterios de puntuación serán los siguientes:</w:t>
      </w:r>
    </w:p>
    <w:p>
      <w:pPr>
        <w:pStyle w:val="Normal"/>
        <w:widowControl w:val="false"/>
        <w:numPr>
          <w:ilvl w:val="0"/>
          <w:numId w:val="3"/>
        </w:numPr>
        <w:suppressAutoHyphens w:val="true"/>
        <w:spacing w:lineRule="auto" w:line="276" w:before="113" w:after="0"/>
        <w:ind w:left="11" w:right="113" w:hanging="36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Para puntuar será preciso refrendar la marca mínima de la prueba. Para la puntuación solo se tendrán en cuenta como máximo dos nadadores por club en cada prueba individual, con independencia de los que participen. Los clasificados a continuación, no serán puntuados, adjudicándose el derecho a puntuación al siguiente en la clasificación que no sea de ese mismo club.</w:t>
      </w:r>
    </w:p>
    <w:p>
      <w:pPr>
        <w:pStyle w:val="Normal"/>
        <w:widowControl w:val="false"/>
        <w:numPr>
          <w:ilvl w:val="0"/>
          <w:numId w:val="3"/>
        </w:numPr>
        <w:suppressAutoHyphens w:val="true"/>
        <w:spacing w:lineRule="auto" w:line="276" w:before="113" w:after="0"/>
        <w:ind w:left="11" w:right="113" w:hanging="360"/>
        <w:textAlignment w:val="baseline"/>
        <w:rPr>
          <w:rFonts w:ascii="Open Sans" w:hAnsi="Open Sans" w:eastAsia="Eurasia" w:cs="Eurasia"/>
          <w:kern w:val="2"/>
          <w:sz w:val="20"/>
          <w:szCs w:val="24"/>
          <w:lang w:val="gl-ES" w:eastAsia="es-ES" w:bidi="gl-ES"/>
        </w:rPr>
      </w:pPr>
      <w:r>
        <w:rPr>
          <w:rFonts w:eastAsia="Eurasia" w:cs="Eurasia" w:ascii="Open Sans" w:hAnsi="Open Sans"/>
          <w:kern w:val="2"/>
          <w:sz w:val="20"/>
          <w:szCs w:val="24"/>
          <w:lang w:val="gl-ES" w:eastAsia="es-ES" w:bidi="gl-ES"/>
        </w:rPr>
        <w:t>Puntuarán los 16 primeiros clasificados de cada prueba individual/relevo. Las puntuaciones en las pruebas individuales serán: 19, 16, 14, 13, 12, 11, 10, 9, 8, 7, 6, 5, 4, 3, 2, 1.</w:t>
      </w:r>
    </w:p>
    <w:p>
      <w:pPr>
        <w:pStyle w:val="Normal"/>
        <w:widowControl w:val="false"/>
        <w:numPr>
          <w:ilvl w:val="0"/>
          <w:numId w:val="3"/>
        </w:numPr>
        <w:suppressAutoHyphens w:val="true"/>
        <w:spacing w:lineRule="auto" w:line="276" w:before="113" w:after="0"/>
        <w:ind w:left="11" w:right="113" w:hanging="360"/>
        <w:textAlignment w:val="baseline"/>
        <w:rPr>
          <w:rFonts w:ascii="Open Sans" w:hAnsi="Open Sans" w:eastAsia="Eurasia" w:cs="Eurasia"/>
          <w:kern w:val="2"/>
          <w:sz w:val="20"/>
          <w:szCs w:val="24"/>
          <w:lang w:val="gl-ES" w:eastAsia="es-ES" w:bidi="gl-ES"/>
        </w:rPr>
      </w:pPr>
      <w:r>
        <w:rPr>
          <w:rFonts w:eastAsia="Eurasia" w:cs="Eurasia" w:ascii="Open Sans" w:hAnsi="Open Sans"/>
          <w:kern w:val="2"/>
          <w:sz w:val="20"/>
          <w:szCs w:val="24"/>
          <w:lang w:val="gl-ES" w:eastAsia="es-ES" w:bidi="gl-ES"/>
        </w:rPr>
        <w:t>La puntuación en las pruebas de relevos será: 38, 32, 28, 26, 24, 22, 20, 18, 16, 14, 12, 10, 8, 6, 4, 2.</w:t>
      </w:r>
    </w:p>
    <w:p>
      <w:pPr>
        <w:pStyle w:val="Normal"/>
        <w:widowControl w:val="false"/>
        <w:suppressAutoHyphens w:val="true"/>
        <w:spacing w:lineRule="auto" w:line="276" w:before="113" w:after="0"/>
        <w:ind w:left="11" w:right="113" w:hanging="0"/>
        <w:textAlignment w:val="baseline"/>
        <w:rPr>
          <w:rFonts w:ascii="Open Sans" w:hAnsi="Open Sans" w:eastAsia="Eurasia" w:cs="Eurasia"/>
          <w:kern w:val="2"/>
          <w:sz w:val="20"/>
          <w:szCs w:val="24"/>
          <w:lang w:val="gl-ES" w:eastAsia="es-ES" w:bidi="gl-ES"/>
        </w:rPr>
      </w:pPr>
      <w:r>
        <w:rPr>
          <w:rFonts w:eastAsia="Eurasia" w:cs="Eurasia" w:ascii="Open Sans" w:hAnsi="Open Sans"/>
          <w:kern w:val="2"/>
          <w:sz w:val="20"/>
          <w:szCs w:val="24"/>
          <w:lang w:val="gl-ES" w:eastAsia="es-ES" w:bidi="gl-ES"/>
        </w:rPr>
      </w:r>
    </w:p>
    <w:p>
      <w:pPr>
        <w:pStyle w:val="Normal"/>
        <w:widowControl w:val="false"/>
        <w:suppressAutoHyphens w:val="true"/>
        <w:spacing w:lineRule="auto" w:line="276"/>
        <w:ind w:left="-709" w:right="113" w:hanging="0"/>
        <w:textAlignment w:val="baseline"/>
        <w:rPr>
          <w:rFonts w:ascii="Open Sans" w:hAnsi="Open Sans" w:eastAsia="Tahoma" w:cs="Tahoma"/>
          <w:kern w:val="2"/>
          <w:sz w:val="20"/>
          <w:szCs w:val="20"/>
          <w:lang w:val="gl-ES" w:eastAsia="es-ES"/>
        </w:rPr>
      </w:pPr>
      <w:r>
        <w:rPr>
          <w:rFonts w:eastAsia="Tahoma" w:cs="Tahoma" w:ascii="Open Sans" w:hAnsi="Open Sans"/>
          <w:kern w:val="2"/>
          <w:sz w:val="20"/>
          <w:szCs w:val="20"/>
          <w:lang w:val="gl-ES" w:eastAsia="es-ES"/>
        </w:rPr>
        <w:t>5.3.- Las MMG/MMN que se batan o igualen en la competición individual, con independencia del puesto, tendrán la puntuación extra que se indica a continuación:</w:t>
      </w:r>
    </w:p>
    <w:p>
      <w:pPr>
        <w:pStyle w:val="Normal"/>
        <w:widowControl w:val="false"/>
        <w:suppressAutoHyphens w:val="true"/>
        <w:spacing w:lineRule="auto" w:line="276"/>
        <w:ind w:left="-284" w:right="113" w:hanging="0"/>
        <w:textAlignment w:val="baseline"/>
        <w:rPr>
          <w:rFonts w:ascii="Open Sans" w:hAnsi="Open Sans" w:eastAsia="Tahoma" w:cs="Tahoma"/>
          <w:kern w:val="2"/>
          <w:sz w:val="20"/>
          <w:szCs w:val="20"/>
          <w:lang w:val="gl-ES" w:eastAsia="es-ES"/>
        </w:rPr>
      </w:pPr>
      <w:r>
        <w:rPr>
          <w:rFonts w:eastAsia="Tahoma" w:cs="Tahoma" w:ascii="Open Sans" w:hAnsi="Open Sans"/>
          <w:kern w:val="2"/>
          <w:sz w:val="20"/>
          <w:szCs w:val="20"/>
          <w:lang w:val="gl-ES" w:eastAsia="es-ES"/>
        </w:rPr>
        <w:t>a) Mejor Marca Gallega: 3 puntos</w:t>
      </w:r>
    </w:p>
    <w:p>
      <w:pPr>
        <w:pStyle w:val="Normal"/>
        <w:widowControl w:val="false"/>
        <w:suppressAutoHyphens w:val="true"/>
        <w:spacing w:lineRule="auto" w:line="276"/>
        <w:ind w:left="-284" w:right="113" w:hanging="0"/>
        <w:textAlignment w:val="baseline"/>
        <w:rPr>
          <w:rFonts w:ascii="Open Sans" w:hAnsi="Open Sans" w:eastAsia="Tahoma" w:cs="Tahoma"/>
          <w:kern w:val="2"/>
          <w:sz w:val="20"/>
          <w:szCs w:val="20"/>
          <w:lang w:val="gl-ES" w:eastAsia="es-ES"/>
        </w:rPr>
      </w:pPr>
      <w:r>
        <w:rPr>
          <w:rFonts w:eastAsia="Tahoma" w:cs="Tahoma" w:ascii="Open Sans" w:hAnsi="Open Sans"/>
          <w:kern w:val="2"/>
          <w:sz w:val="20"/>
          <w:szCs w:val="20"/>
          <w:lang w:val="gl-ES" w:eastAsia="es-ES"/>
        </w:rPr>
        <w:t>b) Mejor Marca Nacional: 6 puntos</w:t>
      </w:r>
    </w:p>
    <w:p>
      <w:pPr>
        <w:pStyle w:val="Normal"/>
        <w:widowControl w:val="false"/>
        <w:suppressAutoHyphens w:val="true"/>
        <w:spacing w:lineRule="auto" w:line="276"/>
        <w:ind w:left="-709" w:right="113" w:hanging="0"/>
        <w:textAlignment w:val="baseline"/>
        <w:rPr>
          <w:rFonts w:ascii="Open Sans" w:hAnsi="Open Sans" w:eastAsia="Tahoma" w:cs="Tahoma"/>
          <w:kern w:val="2"/>
          <w:sz w:val="20"/>
          <w:szCs w:val="20"/>
          <w:lang w:val="gl-ES" w:eastAsia="es-ES"/>
        </w:rPr>
      </w:pPr>
      <w:r>
        <w:rPr>
          <w:rFonts w:eastAsia="Tahoma" w:cs="Tahoma" w:ascii="Open Sans" w:hAnsi="Open Sans"/>
          <w:kern w:val="2"/>
          <w:sz w:val="20"/>
          <w:szCs w:val="20"/>
          <w:lang w:val="gl-ES" w:eastAsia="es-ES"/>
        </w:rPr>
        <w:t>Estas puntuaciones extra non son acumulables entre sí en una misma prueba, prevaleciendo siempre la de mayor puntuación.</w:t>
      </w:r>
    </w:p>
    <w:p>
      <w:pPr>
        <w:pStyle w:val="Normal"/>
        <w:suppressAutoHyphens w:val="true"/>
        <w:spacing w:lineRule="auto" w:line="276"/>
        <w:ind w:left="-709" w:hanging="0"/>
        <w:jc w:val="left"/>
        <w:textAlignment w:val="baseline"/>
        <w:rPr>
          <w:rFonts w:ascii="Open Sans" w:hAnsi="Open Sans" w:eastAsia="NSimSun" w:cs="Arial"/>
          <w:kern w:val="2"/>
          <w:sz w:val="20"/>
          <w:szCs w:val="20"/>
          <w:lang w:eastAsia="zh-CN" w:bidi="hi-IN"/>
          <w14:ligatures w14:val="standardContextual"/>
        </w:rPr>
      </w:pPr>
      <w:r>
        <w:rPr>
          <w:rFonts w:eastAsia="NSimSun" w:cs="Arial" w:ascii="Open Sans" w:hAnsi="Open Sans"/>
          <w:kern w:val="2"/>
          <w:sz w:val="20"/>
          <w:szCs w:val="20"/>
          <w:highlight w:val="yellow"/>
          <w:lang w:eastAsia="zh-CN" w:bidi="hi-IN"/>
          <w14:ligatures w14:val="standardContextual"/>
        </w:rPr>
        <w:t>5.4.- Las bajas y composición de relevos deberán enviarse como máximo hasta 60 minutos antes del inicio de cada sesión.</w:t>
      </w:r>
    </w:p>
    <w:p>
      <w:pPr>
        <w:pStyle w:val="Normal"/>
        <w:widowControl w:val="false"/>
        <w:suppressAutoHyphens w:val="true"/>
        <w:spacing w:lineRule="auto" w:line="276"/>
        <w:ind w:left="-709" w:right="113" w:hanging="0"/>
        <w:jc w:val="left"/>
        <w:textAlignment w:val="baseline"/>
        <w:rPr>
          <w:rFonts w:ascii="Open Sans" w:hAnsi="Open Sans" w:eastAsia="Tahoma" w:cs="Tahoma"/>
          <w:kern w:val="2"/>
          <w:sz w:val="20"/>
          <w:szCs w:val="20"/>
          <w:lang w:val="gl-ES" w:eastAsia="es-ES"/>
        </w:rPr>
      </w:pPr>
      <w:r>
        <w:rPr>
          <w:rFonts w:eastAsia="Tahoma" w:cs="Tahoma" w:ascii="Open Sans" w:hAnsi="Open Sans"/>
          <w:kern w:val="2"/>
          <w:sz w:val="20"/>
          <w:szCs w:val="20"/>
          <w:lang w:val="gl-ES" w:eastAsia="es-ES"/>
        </w:rPr>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30"/>
          <w:lang w:val="gl-ES" w:eastAsia="es-ES" w:bidi="gl-ES"/>
        </w:rPr>
      </w:pPr>
      <w:r>
        <w:rPr>
          <w:rFonts w:eastAsia="DejaVu Sans" w:cs="Sanford" w:ascii="Open Sans" w:hAnsi="Open Sans"/>
          <w:bCs/>
          <w:color w:val="002060"/>
          <w:spacing w:val="10"/>
          <w:kern w:val="2"/>
          <w:sz w:val="30"/>
          <w:szCs w:val="30"/>
          <w:lang w:val="gl-ES" w:eastAsia="es-ES" w:bidi="gl-ES"/>
        </w:rPr>
        <w:t>6.- Clasificaciones</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La clasificación por clubes se hará atendiendo a los siguientes criterios:</w:t>
      </w:r>
    </w:p>
    <w:p>
      <w:pPr>
        <w:pStyle w:val="Normal"/>
        <w:widowControl w:val="false"/>
        <w:numPr>
          <w:ilvl w:val="0"/>
          <w:numId w:val="0"/>
        </w:numPr>
        <w:suppressAutoHyphens w:val="true"/>
        <w:spacing w:lineRule="auto" w:line="276" w:before="113" w:after="0"/>
        <w:ind w:left="-284" w:right="113" w:hanging="0"/>
        <w:textAlignment w:val="baseline"/>
        <w:outlineLvl w:val="0"/>
        <w:rPr>
          <w:rFonts w:ascii="Open Sans" w:hAnsi="Open Sans" w:eastAsia="Eurasia, Calibri" w:cs="Eurasia, Calibri"/>
          <w:color w:val="000000"/>
          <w:kern w:val="2"/>
          <w:sz w:val="20"/>
          <w:szCs w:val="24"/>
          <w:lang w:val="gl-ES" w:eastAsia="es-ES" w:bidi="gl-ES"/>
        </w:rPr>
      </w:pPr>
      <w:r>
        <w:rPr>
          <w:rFonts w:eastAsia="Eurasia, Calibri" w:cs="Eurasia, Calibri" w:ascii="Open Sans" w:hAnsi="Open Sans"/>
          <w:color w:val="000000"/>
          <w:kern w:val="2"/>
          <w:sz w:val="20"/>
          <w:szCs w:val="24"/>
          <w:lang w:val="gl-ES" w:eastAsia="es-ES" w:bidi="gl-ES"/>
        </w:rPr>
        <w:t>a) Clasificación masculina. Total puntos obtenidos en pruebas individuales y relevos masculinos.</w:t>
      </w:r>
    </w:p>
    <w:p>
      <w:pPr>
        <w:pStyle w:val="Normal"/>
        <w:widowControl w:val="false"/>
        <w:numPr>
          <w:ilvl w:val="0"/>
          <w:numId w:val="0"/>
        </w:numPr>
        <w:suppressAutoHyphens w:val="true"/>
        <w:spacing w:lineRule="auto" w:line="276" w:before="113" w:after="0"/>
        <w:ind w:left="-284" w:right="113" w:hanging="0"/>
        <w:textAlignment w:val="baseline"/>
        <w:outlineLvl w:val="0"/>
        <w:rPr>
          <w:rFonts w:ascii="Open Sans" w:hAnsi="Open Sans" w:eastAsia="Eurasia, Calibri" w:cs="Eurasia, Calibri"/>
          <w:color w:val="000000"/>
          <w:kern w:val="2"/>
          <w:sz w:val="20"/>
          <w:szCs w:val="24"/>
          <w:lang w:val="gl-ES" w:eastAsia="es-ES" w:bidi="gl-ES"/>
        </w:rPr>
      </w:pPr>
      <w:r>
        <w:rPr>
          <w:rFonts w:eastAsia="Eurasia, Calibri" w:cs="Eurasia, Calibri" w:ascii="Open Sans" w:hAnsi="Open Sans"/>
          <w:color w:val="000000"/>
          <w:kern w:val="2"/>
          <w:sz w:val="20"/>
          <w:szCs w:val="24"/>
          <w:lang w:val="gl-ES" w:eastAsia="es-ES" w:bidi="gl-ES"/>
        </w:rPr>
        <w:t>b) Clasificación feminina. Total puntos obtenidos en pruebas individuales y relevos femeninos.</w:t>
      </w:r>
    </w:p>
    <w:p>
      <w:pPr>
        <w:pStyle w:val="Normal"/>
        <w:widowControl w:val="false"/>
        <w:numPr>
          <w:ilvl w:val="0"/>
          <w:numId w:val="0"/>
        </w:numPr>
        <w:suppressAutoHyphens w:val="true"/>
        <w:spacing w:lineRule="auto" w:line="276" w:before="113" w:after="0"/>
        <w:ind w:left="-284" w:right="113" w:hanging="0"/>
        <w:textAlignment w:val="baseline"/>
        <w:outlineLvl w:val="0"/>
        <w:rPr>
          <w:rFonts w:ascii="Open Sans" w:hAnsi="Open Sans" w:eastAsia="Eurasia, Calibri" w:cs="Eurasia, Calibri"/>
          <w:color w:val="000000"/>
          <w:kern w:val="2"/>
          <w:sz w:val="20"/>
          <w:szCs w:val="24"/>
          <w:lang w:val="gl-ES" w:eastAsia="es-ES" w:bidi="gl-ES"/>
        </w:rPr>
      </w:pPr>
      <w:r>
        <w:rPr>
          <w:rFonts w:eastAsia="Eurasia, Calibri" w:cs="Eurasia, Calibri" w:ascii="Open Sans" w:hAnsi="Open Sans"/>
          <w:color w:val="000000"/>
          <w:kern w:val="2"/>
          <w:sz w:val="20"/>
          <w:szCs w:val="24"/>
          <w:lang w:val="gl-ES" w:eastAsia="es-ES" w:bidi="gl-ES"/>
        </w:rPr>
        <w:t xml:space="preserve">c) Clasificación total. Total puntos de la suma de la clasificación masculina, feminina. </w:t>
      </w:r>
    </w:p>
    <w:p>
      <w:pPr>
        <w:pStyle w:val="Normal"/>
        <w:widowControl w:val="false"/>
        <w:numPr>
          <w:ilvl w:val="0"/>
          <w:numId w:val="0"/>
        </w:numPr>
        <w:suppressAutoHyphens w:val="true"/>
        <w:spacing w:lineRule="auto" w:line="276" w:before="113" w:after="0"/>
        <w:ind w:left="-709" w:right="113" w:hanging="0"/>
        <w:textAlignment w:val="baseline"/>
        <w:outlineLvl w:val="0"/>
        <w:rPr>
          <w:rFonts w:ascii="Open Sans" w:hAnsi="Open Sans" w:eastAsia="Eurasia, Calibri" w:cs="Eurasia, Calibri"/>
          <w:color w:val="000000"/>
          <w:kern w:val="2"/>
          <w:sz w:val="20"/>
          <w:szCs w:val="24"/>
          <w:lang w:val="gl-ES" w:eastAsia="es-ES" w:bidi="gl-ES"/>
        </w:rPr>
      </w:pPr>
      <w:r>
        <w:rPr>
          <w:rFonts w:eastAsia="Eurasia, Calibri" w:cs="Eurasia, Calibri" w:ascii="Open Sans" w:hAnsi="Open Sans"/>
          <w:color w:val="000000"/>
          <w:kern w:val="2"/>
          <w:sz w:val="20"/>
          <w:szCs w:val="24"/>
          <w:lang w:val="gl-ES" w:eastAsia="es-ES" w:bidi="gl-ES"/>
        </w:rPr>
        <w:t>El club que obtenga mayor puntuación será proclamado Campeón Gallego Infantil de verano.</w:t>
      </w:r>
    </w:p>
    <w:p>
      <w:pPr>
        <w:pStyle w:val="Normal"/>
        <w:widowControl w:val="false"/>
        <w:suppressAutoHyphens w:val="true"/>
        <w:spacing w:lineRule="auto" w:line="240"/>
        <w:jc w:val="left"/>
        <w:textAlignment w:val="baseline"/>
        <w:rPr>
          <w:rFonts w:eastAsia="Tahoma" w:cs="Tahoma"/>
          <w:kern w:val="2"/>
          <w:szCs w:val="24"/>
          <w:lang w:val="gl-ES" w:eastAsia="es-ES" w:bidi="gl-ES"/>
        </w:rPr>
      </w:pPr>
      <w:r>
        <w:rPr>
          <w:rFonts w:eastAsia="Tahoma" w:cs="Tahoma"/>
          <w:kern w:val="2"/>
          <w:szCs w:val="24"/>
          <w:lang w:val="gl-ES" w:eastAsia="es-ES" w:bidi="gl-ES"/>
        </w:rPr>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30"/>
          <w:lang w:val="gl-ES" w:eastAsia="es-ES" w:bidi="gl-ES"/>
        </w:rPr>
      </w:pPr>
      <w:r>
        <w:rPr>
          <w:rFonts w:eastAsia="DejaVu Sans" w:cs="Sanford" w:ascii="Open Sans" w:hAnsi="Open Sans"/>
          <w:bCs/>
          <w:color w:val="002060"/>
          <w:spacing w:val="10"/>
          <w:kern w:val="2"/>
          <w:sz w:val="30"/>
          <w:szCs w:val="30"/>
          <w:lang w:val="gl-ES" w:eastAsia="es-ES" w:bidi="gl-ES"/>
        </w:rPr>
        <w:t>7.- Títulos y premios</w:t>
      </w:r>
    </w:p>
    <w:p>
      <w:pPr>
        <w:pStyle w:val="Textbody"/>
        <w:spacing w:lineRule="auto" w:line="276"/>
        <w:ind w:left="-709" w:right="113" w:hanging="0"/>
        <w:rPr>
          <w:rFonts w:eastAsia="Eurasia, Calibri" w:cs="Eurasia, Calibri"/>
        </w:rPr>
      </w:pPr>
      <w:r>
        <w:rPr>
          <w:rFonts w:eastAsia="Eurasia, Calibri" w:cs="Eurasia, Calibri"/>
        </w:rPr>
        <w:t>7.1.- Medalla a los tres primeros clasificados en cada prueba masculina y femenina por edad y sexo.</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Medalla a los tres primeros clasificados en las categorías de discapacidad funcional y/o visual según el criterio que figura en las normativas del Comité Parolímpico Internacional de Natación (IPC Swimming). (Puede descargarse la normativa desde la alínea de circulares de la FEGAN)</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t>7.2- Trofeos a los clubes campeones en cada una de las clasificaciones indicadas en el punto 6. Excepto para los nadadores con discapacidad funcional y/o visual.</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DejaVu Sans" w:cs="Tahoma" w:ascii="Open Sans" w:hAnsi="Open Sans"/>
          <w:kern w:val="2"/>
          <w:sz w:val="20"/>
          <w:szCs w:val="24"/>
          <w:lang w:val="gl-ES" w:eastAsia="es-ES" w:bidi="gl-ES"/>
        </w:rPr>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color w:val="002060"/>
          <w:spacing w:val="10"/>
          <w:kern w:val="2"/>
          <w:sz w:val="30"/>
          <w:szCs w:val="30"/>
          <w:lang w:val="gl-ES" w:eastAsia="es-ES" w:bidi="es-ES"/>
        </w:rPr>
      </w:pPr>
      <w:r>
        <w:rPr>
          <w:rFonts w:eastAsia="DejaVu Sans" w:cs="Sanford" w:ascii="Open Sans" w:hAnsi="Open Sans"/>
          <w:bCs/>
          <w:color w:val="002060"/>
          <w:spacing w:val="10"/>
          <w:kern w:val="2"/>
          <w:sz w:val="30"/>
          <w:szCs w:val="30"/>
          <w:lang w:val="gl-ES" w:eastAsia="es-ES" w:bidi="es-ES"/>
        </w:rPr>
        <w:t>8.- Marcas mínimas</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DejaVu Sans" w:cs="Tahoma" w:ascii="Open Sans" w:hAnsi="Open Sans"/>
          <w:kern w:val="2"/>
          <w:sz w:val="20"/>
          <w:szCs w:val="24"/>
          <w:lang w:val="gl-ES" w:eastAsia="es-ES" w:bidi="gl-ES"/>
        </w:rPr>
        <w:t xml:space="preserve">8.1.- Serán las indicadas en la circular de marcas mínimas para la presente temporada para las categorías referidas al presente campeonato. </w:t>
      </w:r>
    </w:p>
    <w:p>
      <w:pPr>
        <w:pStyle w:val="Normal"/>
        <w:suppressAutoHyphens w:val="true"/>
        <w:spacing w:lineRule="auto" w:line="276" w:before="113" w:after="0"/>
        <w:ind w:left="-709" w:hanging="1"/>
        <w:textAlignment w:val="baseline"/>
        <w:rPr>
          <w:rFonts w:ascii="Open Sans" w:hAnsi="Open Sans" w:eastAsia="DejaVu Sans" w:cs="Tahoma"/>
          <w:color w:val="000000" w:themeColor="text1"/>
          <w:kern w:val="2"/>
          <w:sz w:val="17"/>
          <w:szCs w:val="24"/>
          <w:lang w:val="gl-ES" w:eastAsia="zh-CN" w:bidi="gl-ES"/>
          <w14:ligatures w14:val="standardContextual"/>
        </w:rPr>
      </w:pPr>
      <w:r>
        <w:rPr>
          <w:rFonts w:eastAsia="DejaVu Sans" w:cs="Tahoma" w:ascii="Open Sans" w:hAnsi="Open Sans"/>
          <w:color w:val="000000" w:themeColor="text1"/>
          <w:kern w:val="2"/>
          <w:sz w:val="20"/>
          <w:szCs w:val="24"/>
          <w:lang w:val="gl-ES" w:eastAsia="zh-CN" w:bidi="gl-ES"/>
          <w14:ligatures w14:val="standardContextual"/>
        </w:rPr>
        <w:t>8.2.- Las marcas en pruebas individuales serán válidas desde el 1 de octubre del 2023</w:t>
      </w:r>
    </w:p>
    <w:p>
      <w:pPr>
        <w:pStyle w:val="Normal"/>
        <w:suppressAutoHyphens w:val="true"/>
        <w:spacing w:lineRule="auto" w:line="276" w:before="113" w:after="0"/>
        <w:ind w:left="-709" w:hanging="1"/>
        <w:textAlignment w:val="baseline"/>
        <w:rPr>
          <w:rFonts w:ascii="Open Sans" w:hAnsi="Open Sans" w:eastAsia="DejaVu Sans" w:cs="Tahoma"/>
          <w:color w:val="000000" w:themeColor="text1"/>
          <w:kern w:val="2"/>
          <w:sz w:val="20"/>
          <w:szCs w:val="20"/>
          <w:lang w:val="gl-ES" w:eastAsia="zh-CN" w:bidi="gl-ES"/>
          <w14:ligatures w14:val="standardContextual"/>
        </w:rPr>
      </w:pPr>
      <w:r>
        <w:rPr>
          <w:rFonts w:eastAsia="DejaVu Sans" w:cs="Tahoma" w:ascii="Open Sans" w:hAnsi="Open Sans"/>
          <w:color w:val="000000" w:themeColor="text1"/>
          <w:kern w:val="2"/>
          <w:sz w:val="20"/>
          <w:szCs w:val="20"/>
          <w:lang w:val="gl-ES" w:eastAsia="zh-CN" w:bidi="gl-ES"/>
          <w14:ligatures w14:val="standardContextual"/>
        </w:rPr>
        <w:t>8.3.- Las marcas para las sumas de tiempos en los diferentes relevos serán válidas desde 1 de octubre del 2023</w:t>
      </w:r>
    </w:p>
    <w:p>
      <w:pPr>
        <w:pStyle w:val="Normal"/>
        <w:suppressAutoHyphens w:val="true"/>
        <w:spacing w:lineRule="auto" w:line="276" w:before="113" w:after="0"/>
        <w:ind w:left="-709" w:hanging="1"/>
        <w:textAlignment w:val="baseline"/>
        <w:rPr>
          <w:rFonts w:ascii="Open Sans" w:hAnsi="Open Sans" w:eastAsia="DejaVu Sans" w:cs="Tahoma"/>
          <w:color w:val="000000" w:themeColor="text1"/>
          <w:kern w:val="2"/>
          <w:sz w:val="20"/>
          <w:szCs w:val="24"/>
          <w:lang w:val="gl-ES" w:eastAsia="zh-CN" w:bidi="gl-ES"/>
          <w14:ligatures w14:val="standardContextual"/>
        </w:rPr>
      </w:pPr>
      <w:r>
        <w:rPr>
          <w:rFonts w:eastAsia="DejaVu Sans" w:cs="Tahoma" w:ascii="Open Sans" w:hAnsi="Open Sans"/>
          <w:color w:val="000000" w:themeColor="text1"/>
          <w:kern w:val="2"/>
          <w:sz w:val="20"/>
          <w:szCs w:val="24"/>
          <w:lang w:val="gl-ES" w:eastAsia="zh-CN" w:bidi="gl-ES"/>
          <w14:ligatures w14:val="standardContextual"/>
        </w:rPr>
        <w:t>8.4.- Las marcas de relevos, serán validas desde el 1 de octubre del 2023</w:t>
      </w:r>
    </w:p>
    <w:p>
      <w:pPr>
        <w:pStyle w:val="Textbody"/>
        <w:spacing w:lineRule="auto" w:line="276"/>
        <w:ind w:left="-709" w:right="113" w:hanging="0"/>
        <w:rPr>
          <w:szCs w:val="20"/>
        </w:rPr>
      </w:pPr>
      <w:r>
        <w:rPr>
          <w:szCs w:val="20"/>
        </w:rPr>
      </w:r>
    </w:p>
    <w:p>
      <w:pPr>
        <w:pStyle w:val="Normal"/>
        <w:widowControl w:val="false"/>
        <w:numPr>
          <w:ilvl w:val="0"/>
          <w:numId w:val="0"/>
        </w:numPr>
        <w:suppressAutoHyphens w:val="true"/>
        <w:spacing w:lineRule="auto" w:line="276" w:before="113" w:after="0"/>
        <w:ind w:left="-709" w:right="113" w:hanging="0"/>
        <w:jc w:val="left"/>
        <w:textAlignment w:val="baseline"/>
        <w:outlineLvl w:val="0"/>
        <w:rPr>
          <w:rFonts w:ascii="Open Sans" w:hAnsi="Open Sans" w:eastAsia="DejaVu Sans" w:cs="Sanford"/>
          <w:bCs/>
          <w:spacing w:val="10"/>
          <w:kern w:val="2"/>
          <w:sz w:val="30"/>
          <w:szCs w:val="30"/>
          <w:lang w:val="gl-ES" w:eastAsia="es-ES" w:bidi="gl-ES"/>
        </w:rPr>
      </w:pPr>
      <w:r>
        <w:rPr>
          <w:rFonts w:eastAsia="DejaVu Sans" w:cs="Sanford" w:ascii="Open Sans" w:hAnsi="Open Sans"/>
          <w:bCs/>
          <w:color w:val="002060"/>
          <w:spacing w:val="10"/>
          <w:kern w:val="2"/>
          <w:sz w:val="30"/>
          <w:szCs w:val="30"/>
          <w:lang w:val="gl-ES" w:eastAsia="es-ES" w:bidi="gl-ES"/>
        </w:rPr>
        <w:t>9.- Nota final</w:t>
      </w:r>
    </w:p>
    <w:p>
      <w:pPr>
        <w:pStyle w:val="Normal"/>
        <w:widowControl w:val="false"/>
        <w:suppressAutoHyphens w:val="true"/>
        <w:spacing w:lineRule="auto" w:line="276" w:before="113" w:after="0"/>
        <w:ind w:left="-709" w:right="113" w:hanging="0"/>
        <w:textAlignment w:val="baseline"/>
        <w:rPr>
          <w:rFonts w:ascii="Open Sans" w:hAnsi="Open Sans" w:eastAsia="DejaVu Sans" w:cs="Tahoma"/>
          <w:kern w:val="2"/>
          <w:sz w:val="20"/>
          <w:szCs w:val="24"/>
          <w:lang w:val="gl-ES" w:eastAsia="es-ES" w:bidi="gl-ES"/>
        </w:rPr>
      </w:pPr>
      <w:r>
        <w:rPr>
          <w:rFonts w:eastAsia="Eurasia, Calibri" w:cs="Eurasia, Calibri" w:ascii="Open Sans" w:hAnsi="Open Sans"/>
          <w:kern w:val="2"/>
          <w:sz w:val="20"/>
          <w:szCs w:val="24"/>
          <w:lang w:val="gl-ES" w:eastAsia="es-ES" w:bidi="gl-ES"/>
        </w:rPr>
        <w:t>En el no previsto en la presente normativa se estará al dispuesto en el artículo 10 del capítulo 3º del título II del libro X del “ Reglamento general” de la RFEN, y en su caso, al dispuesto en las normas FINA.</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r>
    </w:p>
    <w:p>
      <w:pPr>
        <w:pStyle w:val="Normal"/>
        <w:widowControl w:val="false"/>
        <w:suppressAutoHyphens w:val="true"/>
        <w:spacing w:lineRule="auto" w:line="276" w:before="113" w:after="0"/>
        <w:ind w:left="-709" w:right="113" w:hanging="0"/>
        <w:jc w:val="center"/>
        <w:textAlignment w:val="baseline"/>
        <w:rPr/>
      </w:pPr>
      <w:r>
        <w:rPr>
          <w:rFonts w:eastAsia="Eurasia, Calibri" w:cs="Eurasia, Calibri" w:ascii="Open Sans" w:hAnsi="Open Sans"/>
          <w:kern w:val="2"/>
          <w:sz w:val="20"/>
          <w:szCs w:val="24"/>
          <w:lang w:val="gl-ES" w:eastAsia="es-ES" w:bidi="gl-ES"/>
        </w:rPr>
        <w:t xml:space="preserve">A Coruña, </w:t>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b/>
          <w:b/>
          <w:color w:val="002060"/>
          <w:kern w:val="2"/>
          <w:sz w:val="22"/>
          <w:szCs w:val="24"/>
          <w:lang w:val="gl-ES" w:eastAsia="es-ES" w:bidi="gl-ES"/>
        </w:rPr>
      </w:pPr>
      <w:r>
        <w:rPr>
          <w:rFonts w:eastAsia="Eurasia, Calibri" w:cs="Eurasia, Calibri" w:ascii="Open Sans" w:hAnsi="Open Sans"/>
          <w:b/>
          <w:color w:val="002060"/>
          <w:kern w:val="2"/>
          <w:sz w:val="22"/>
          <w:szCs w:val="24"/>
          <w:lang w:val="gl-ES" w:eastAsia="es-ES" w:bidi="gl-ES"/>
        </w:rPr>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b/>
          <w:b/>
          <w:color w:val="002060"/>
          <w:kern w:val="2"/>
          <w:sz w:val="22"/>
          <w:szCs w:val="24"/>
          <w:lang w:val="gl-ES" w:eastAsia="es-ES" w:bidi="gl-ES"/>
        </w:rPr>
      </w:pPr>
      <w:r>
        <w:rPr>
          <w:rFonts w:eastAsia="Eurasia, Calibri" w:cs="Eurasia, Calibri" w:ascii="Open Sans" w:hAnsi="Open Sans"/>
          <w:b/>
          <w:color w:val="002060"/>
          <w:kern w:val="2"/>
          <w:sz w:val="22"/>
          <w:szCs w:val="24"/>
          <w:lang w:val="gl-ES" w:eastAsia="es-ES" w:bidi="gl-ES"/>
        </w:rPr>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b/>
          <w:b/>
          <w:color w:val="002060"/>
          <w:kern w:val="2"/>
          <w:sz w:val="22"/>
          <w:szCs w:val="24"/>
          <w:lang w:val="gl-ES" w:eastAsia="es-ES" w:bidi="gl-ES"/>
        </w:rPr>
      </w:pPr>
      <w:r>
        <w:rPr>
          <w:rFonts w:eastAsia="Eurasia, Calibri" w:cs="Eurasia, Calibri" w:ascii="Open Sans" w:hAnsi="Open Sans"/>
          <w:b/>
          <w:color w:val="002060"/>
          <w:kern w:val="2"/>
          <w:sz w:val="22"/>
          <w:szCs w:val="24"/>
          <w:lang w:val="gl-ES" w:eastAsia="es-ES" w:bidi="gl-ES"/>
        </w:rPr>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b/>
          <w:b/>
          <w:color w:val="002060"/>
          <w:kern w:val="2"/>
          <w:sz w:val="22"/>
          <w:szCs w:val="24"/>
          <w:lang w:val="gl-ES" w:eastAsia="es-ES" w:bidi="gl-ES"/>
        </w:rPr>
      </w:pPr>
      <w:r>
        <w:rPr>
          <w:rFonts w:eastAsia="Eurasia, Calibri" w:cs="Eurasia, Calibri" w:ascii="Open Sans" w:hAnsi="Open Sans"/>
          <w:b/>
          <w:color w:val="002060"/>
          <w:kern w:val="2"/>
          <w:sz w:val="22"/>
          <w:szCs w:val="24"/>
          <w:lang w:val="gl-ES" w:eastAsia="es-ES" w:bidi="gl-ES"/>
        </w:rPr>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b/>
          <w:b/>
          <w:color w:val="002060"/>
          <w:kern w:val="2"/>
          <w:sz w:val="22"/>
          <w:szCs w:val="24"/>
          <w:lang w:val="gl-ES" w:eastAsia="es-ES" w:bidi="gl-ES"/>
        </w:rPr>
      </w:pPr>
      <w:r>
        <w:rPr>
          <w:rFonts w:eastAsia="Eurasia, Calibri" w:cs="Eurasia, Calibri" w:ascii="Open Sans" w:hAnsi="Open Sans"/>
          <w:b/>
          <w:color w:val="002060"/>
          <w:kern w:val="2"/>
          <w:sz w:val="22"/>
          <w:szCs w:val="24"/>
          <w:lang w:val="gl-ES" w:eastAsia="es-ES" w:bidi="gl-ES"/>
        </w:rPr>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b/>
          <w:b/>
          <w:color w:val="002060"/>
          <w:kern w:val="2"/>
          <w:sz w:val="22"/>
          <w:szCs w:val="24"/>
          <w:lang w:val="gl-ES" w:eastAsia="es-ES" w:bidi="gl-ES"/>
        </w:rPr>
      </w:pPr>
      <w:r>
        <w:rPr>
          <w:rFonts w:eastAsia="Eurasia, Calibri" w:cs="Eurasia, Calibri" w:ascii="Open Sans" w:hAnsi="Open Sans"/>
          <w:b/>
          <w:color w:val="002060"/>
          <w:kern w:val="2"/>
          <w:sz w:val="22"/>
          <w:szCs w:val="24"/>
          <w:lang w:val="gl-ES" w:eastAsia="es-ES" w:bidi="gl-ES"/>
        </w:rPr>
      </w:r>
    </w:p>
    <w:p>
      <w:pPr>
        <w:pStyle w:val="Normal"/>
        <w:widowControl w:val="false"/>
        <w:suppressAutoHyphens w:val="true"/>
        <w:spacing w:lineRule="auto" w:line="276" w:before="113" w:after="0"/>
        <w:ind w:left="-709"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r>
    </w:p>
    <w:p>
      <w:pPr>
        <w:pStyle w:val="Normal"/>
        <w:widowControl w:val="false"/>
        <w:numPr>
          <w:ilvl w:val="0"/>
          <w:numId w:val="0"/>
        </w:numPr>
        <w:suppressAutoHyphens w:val="true"/>
        <w:spacing w:lineRule="auto" w:line="276" w:before="113" w:after="0"/>
        <w:ind w:left="-851" w:hanging="0"/>
        <w:jc w:val="left"/>
        <w:textAlignment w:val="baseline"/>
        <w:outlineLvl w:val="0"/>
        <w:rPr>
          <w:rFonts w:ascii="Sanford" w:hAnsi="Sanford" w:eastAsia="DejaVu Sans" w:cs="Sanford"/>
          <w:bCs/>
          <w:spacing w:val="10"/>
          <w:kern w:val="2"/>
          <w:sz w:val="36"/>
          <w:szCs w:val="28"/>
          <w:lang w:val="gl-ES" w:eastAsia="es-ES" w:bidi="gl-ES"/>
        </w:rPr>
      </w:pPr>
      <w:r>
        <w:rPr>
          <w:rFonts w:eastAsia="DejaVu Sans" w:cs="Sanford" w:ascii="Sanford" w:hAnsi="Sanford"/>
          <w:bCs/>
          <w:spacing w:val="10"/>
          <w:kern w:val="2"/>
          <w:sz w:val="36"/>
          <w:szCs w:val="28"/>
          <w:lang w:val="gl-ES" w:eastAsia="es-ES" w:bidi="gl-ES"/>
        </w:rPr>
        <w:t>Anexo I</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 xml:space="preserve">Las </w:t>
      </w:r>
      <w:r>
        <w:rPr>
          <w:rFonts w:eastAsia="DejaVu Sans" w:cs="Tahoma" w:ascii="Open Sans" w:hAnsi="Open Sans"/>
          <w:color w:val="000000"/>
          <w:kern w:val="2"/>
          <w:sz w:val="20"/>
          <w:szCs w:val="24"/>
          <w:lang w:val="gl-ES" w:eastAsia="zh-CN" w:bidi="gl-ES"/>
        </w:rPr>
        <w:t>pruebas</w:t>
      </w:r>
      <w:r>
        <w:rPr>
          <w:rFonts w:eastAsia="Eurasia, Calibri" w:cs="Eurasia, Calibri" w:ascii="Open Sans" w:hAnsi="Open Sans"/>
          <w:color w:val="000000"/>
          <w:kern w:val="2"/>
          <w:sz w:val="20"/>
          <w:szCs w:val="24"/>
          <w:lang w:val="gl-ES" w:eastAsia="zh-CN" w:bidi="gl-ES"/>
        </w:rPr>
        <w:t xml:space="preserve"> y </w:t>
      </w:r>
      <w:r>
        <w:rPr>
          <w:rFonts w:eastAsia="DejaVu Sans" w:cs="Tahoma" w:ascii="Open Sans" w:hAnsi="Open Sans"/>
          <w:color w:val="000000"/>
          <w:kern w:val="2"/>
          <w:sz w:val="20"/>
          <w:szCs w:val="24"/>
          <w:lang w:val="gl-ES" w:eastAsia="zh-CN" w:bidi="gl-ES"/>
        </w:rPr>
        <w:t>categorías</w:t>
      </w:r>
      <w:r>
        <w:rPr>
          <w:rFonts w:eastAsia="Eurasia, Calibri" w:cs="Eurasia, Calibri" w:ascii="Open Sans" w:hAnsi="Open Sans"/>
          <w:color w:val="000000"/>
          <w:kern w:val="2"/>
          <w:sz w:val="20"/>
          <w:szCs w:val="24"/>
          <w:lang w:val="gl-ES" w:eastAsia="zh-CN" w:bidi="gl-ES"/>
        </w:rPr>
        <w:t xml:space="preserve"> en l</w:t>
      </w:r>
      <w:r>
        <w:rPr>
          <w:rFonts w:eastAsia="DejaVu Sans" w:cs="Tahoma" w:ascii="Open Sans" w:hAnsi="Open Sans"/>
          <w:color w:val="000000"/>
          <w:kern w:val="2"/>
          <w:sz w:val="20"/>
          <w:szCs w:val="24"/>
          <w:lang w:val="gl-ES" w:eastAsia="zh-CN" w:bidi="gl-ES"/>
        </w:rPr>
        <w:t>as</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que</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pueden</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participar</w:t>
      </w:r>
      <w:r>
        <w:rPr>
          <w:rFonts w:eastAsia="Eurasia, Calibri" w:cs="Eurasia, Calibri" w:ascii="Open Sans" w:hAnsi="Open Sans"/>
          <w:color w:val="000000"/>
          <w:kern w:val="2"/>
          <w:sz w:val="20"/>
          <w:szCs w:val="24"/>
          <w:lang w:val="gl-ES" w:eastAsia="zh-CN" w:bidi="gl-ES"/>
        </w:rPr>
        <w:t xml:space="preserve"> l</w:t>
      </w:r>
      <w:r>
        <w:rPr>
          <w:rFonts w:eastAsia="DejaVu Sans" w:cs="Tahoma" w:ascii="Open Sans" w:hAnsi="Open Sans"/>
          <w:color w:val="000000"/>
          <w:kern w:val="2"/>
          <w:sz w:val="20"/>
          <w:szCs w:val="24"/>
          <w:lang w:val="gl-ES" w:eastAsia="zh-CN" w:bidi="gl-ES"/>
        </w:rPr>
        <w:t>os</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nadadores</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con</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discapacidad</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funcional</w:t>
      </w:r>
      <w:r>
        <w:rPr>
          <w:rFonts w:eastAsia="Eurasia, Calibri" w:cs="Eurasia, Calibri" w:ascii="Open Sans" w:hAnsi="Open Sans"/>
          <w:color w:val="000000"/>
          <w:kern w:val="2"/>
          <w:sz w:val="20"/>
          <w:szCs w:val="24"/>
          <w:lang w:val="gl-ES" w:eastAsia="zh-CN" w:bidi="gl-ES"/>
        </w:rPr>
        <w:t xml:space="preserve"> y/</w:t>
      </w:r>
      <w:r>
        <w:rPr>
          <w:rFonts w:eastAsia="DejaVu Sans" w:cs="Tahoma" w:ascii="Open Sans" w:hAnsi="Open Sans"/>
          <w:color w:val="000000"/>
          <w:kern w:val="2"/>
          <w:sz w:val="20"/>
          <w:szCs w:val="24"/>
          <w:lang w:val="gl-ES" w:eastAsia="zh-CN" w:bidi="gl-ES"/>
        </w:rPr>
        <w:t>o</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visual</w:t>
      </w:r>
      <w:r>
        <w:rPr>
          <w:rFonts w:eastAsia="Eurasia, Calibri" w:cs="Eurasia, Calibri" w:ascii="Open Sans" w:hAnsi="Open Sans"/>
          <w:color w:val="000000"/>
          <w:kern w:val="2"/>
          <w:sz w:val="20"/>
          <w:szCs w:val="24"/>
          <w:lang w:val="gl-ES" w:eastAsia="zh-CN" w:bidi="gl-ES"/>
        </w:rPr>
        <w:t xml:space="preserve"> </w:t>
      </w:r>
      <w:r>
        <w:rPr>
          <w:rFonts w:eastAsia="DejaVu Sans" w:cs="Tahoma" w:ascii="Open Sans" w:hAnsi="Open Sans"/>
          <w:color w:val="000000"/>
          <w:kern w:val="2"/>
          <w:sz w:val="20"/>
          <w:szCs w:val="24"/>
          <w:lang w:val="gl-ES" w:eastAsia="zh-CN" w:bidi="gl-ES"/>
        </w:rPr>
        <w:t>son</w:t>
      </w:r>
      <w:r>
        <w:rPr>
          <w:rFonts w:eastAsia="Eurasia, Calibri" w:cs="Eurasia, Calibri" w:ascii="Open Sans" w:hAnsi="Open Sans"/>
          <w:color w:val="000000"/>
          <w:kern w:val="2"/>
          <w:sz w:val="20"/>
          <w:szCs w:val="24"/>
          <w:lang w:val="gl-ES" w:eastAsia="zh-CN" w:bidi="gl-ES"/>
        </w:rPr>
        <w:t>:</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r>
    </w:p>
    <w:p>
      <w:pPr>
        <w:pStyle w:val="Normal"/>
        <w:widowControl w:val="false"/>
        <w:suppressAutoHyphens w:val="true"/>
        <w:spacing w:lineRule="auto" w:line="276" w:before="113" w:after="0"/>
        <w:ind w:left="-851" w:hanging="0"/>
        <w:textAlignment w:val="baseline"/>
        <w:rPr>
          <w:rFonts w:ascii="Open Sans" w:hAnsi="Open Sans" w:eastAsia="DejaVu Sans" w:cs="Tahoma"/>
          <w:color w:val="000000"/>
          <w:kern w:val="2"/>
          <w:sz w:val="20"/>
          <w:szCs w:val="24"/>
          <w:lang w:val="gl-ES" w:eastAsia="zh-CN" w:bidi="gl-ES"/>
        </w:rPr>
      </w:pPr>
      <w:r>
        <w:rPr>
          <w:rFonts w:eastAsia="DejaVu Sans" w:cs="Tahoma" w:ascii="Open Sans" w:hAnsi="Open Sans"/>
          <w:color w:val="000000"/>
          <w:kern w:val="2"/>
          <w:sz w:val="20"/>
          <w:szCs w:val="24"/>
          <w:lang w:val="gl-ES" w:eastAsia="zh-CN" w:bidi="gl-ES"/>
        </w:rPr>
      </w:r>
    </w:p>
    <w:tbl>
      <w:tblPr>
        <w:tblpPr w:vertAnchor="text" w:tblpYSpec="top" w:horzAnchor="page" w:leftFromText="141" w:rightFromText="141" w:tblpX="876"/>
        <w:tblW w:w="9728" w:type="dxa"/>
        <w:jc w:val="left"/>
        <w:tblInd w:w="55" w:type="dxa"/>
        <w:tblCellMar>
          <w:top w:w="55" w:type="dxa"/>
          <w:left w:w="55" w:type="dxa"/>
          <w:bottom w:w="55" w:type="dxa"/>
          <w:right w:w="55" w:type="dxa"/>
        </w:tblCellMar>
        <w:tblLook w:firstRow="1" w:noVBand="1" w:lastRow="0" w:firstColumn="1" w:lastColumn="0" w:noHBand="0" w:val="04a0"/>
      </w:tblPr>
      <w:tblGrid>
        <w:gridCol w:w="954"/>
        <w:gridCol w:w="954"/>
        <w:gridCol w:w="953"/>
        <w:gridCol w:w="957"/>
        <w:gridCol w:w="954"/>
        <w:gridCol w:w="953"/>
        <w:gridCol w:w="956"/>
        <w:gridCol w:w="955"/>
        <w:gridCol w:w="954"/>
        <w:gridCol w:w="1137"/>
      </w:tblGrid>
      <w:tr>
        <w:trPr>
          <w:trHeight w:val="189" w:hRule="atLeast"/>
        </w:trPr>
        <w:tc>
          <w:tcPr>
            <w:tcW w:w="954" w:type="dxa"/>
            <w:tcBorders>
              <w:top w:val="single" w:sz="2" w:space="0" w:color="000000"/>
              <w:left w:val="single" w:sz="2" w:space="0" w:color="000000"/>
              <w:bottom w:val="single" w:sz="2" w:space="0" w:color="000000"/>
            </w:tcBorders>
            <w:shd w:fill="auto" w:val="cle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50</w:t>
            </w:r>
            <w:r>
              <w:rPr>
                <w:rFonts w:eastAsia="Open Sans" w:cs="Open Sans" w:ascii="Open Sans" w:hAnsi="Open Sans"/>
                <w:b/>
                <w:bCs/>
                <w:color w:val="000000"/>
                <w:kern w:val="2"/>
                <w:sz w:val="16"/>
                <w:szCs w:val="16"/>
                <w:lang w:val="gl-ES" w:eastAsia="zh-CN" w:bidi="es-ES"/>
                <w14:ligatures w14:val="standardContextual"/>
              </w:rPr>
              <w:t>L</w:t>
            </w:r>
          </w:p>
        </w:tc>
        <w:tc>
          <w:tcPr>
            <w:tcW w:w="954"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100</w:t>
            </w:r>
            <w:r>
              <w:rPr>
                <w:rFonts w:eastAsia="Open Sans" w:cs="Open Sans" w:ascii="Open Sans" w:hAnsi="Open Sans"/>
                <w:b/>
                <w:bCs/>
                <w:color w:val="000000"/>
                <w:kern w:val="2"/>
                <w:sz w:val="16"/>
                <w:szCs w:val="16"/>
                <w:lang w:val="gl-ES" w:eastAsia="zh-CN" w:bidi="es-ES"/>
                <w14:ligatures w14:val="standardContextual"/>
              </w:rPr>
              <w:t>L</w:t>
            </w:r>
          </w:p>
        </w:tc>
        <w:tc>
          <w:tcPr>
            <w:tcW w:w="953"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200</w:t>
            </w:r>
            <w:r>
              <w:rPr>
                <w:rFonts w:eastAsia="Open Sans" w:cs="Open Sans" w:ascii="Open Sans" w:hAnsi="Open Sans"/>
                <w:b/>
                <w:bCs/>
                <w:color w:val="000000"/>
                <w:kern w:val="2"/>
                <w:sz w:val="16"/>
                <w:szCs w:val="16"/>
                <w:lang w:val="gl-ES" w:eastAsia="zh-CN" w:bidi="es-ES"/>
                <w14:ligatures w14:val="standardContextual"/>
              </w:rPr>
              <w:t>L</w:t>
            </w:r>
          </w:p>
        </w:tc>
        <w:tc>
          <w:tcPr>
            <w:tcW w:w="957"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50</w:t>
            </w:r>
            <w:r>
              <w:rPr>
                <w:rFonts w:eastAsia="Open Sans" w:cs="Open Sans" w:ascii="Open Sans" w:hAnsi="Open Sans"/>
                <w:b/>
                <w:bCs/>
                <w:color w:val="000000"/>
                <w:kern w:val="2"/>
                <w:sz w:val="16"/>
                <w:szCs w:val="16"/>
                <w:lang w:val="gl-ES" w:eastAsia="zh-CN" w:bidi="es-ES"/>
                <w14:ligatures w14:val="standardContextual"/>
              </w:rPr>
              <w:t>E</w:t>
            </w:r>
          </w:p>
        </w:tc>
        <w:tc>
          <w:tcPr>
            <w:tcW w:w="954"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100</w:t>
            </w:r>
            <w:r>
              <w:rPr>
                <w:rFonts w:eastAsia="Open Sans" w:cs="Open Sans" w:ascii="Open Sans" w:hAnsi="Open Sans"/>
                <w:b/>
                <w:bCs/>
                <w:color w:val="000000"/>
                <w:kern w:val="2"/>
                <w:sz w:val="16"/>
                <w:szCs w:val="16"/>
                <w:lang w:val="gl-ES" w:eastAsia="zh-CN" w:bidi="es-ES"/>
                <w14:ligatures w14:val="standardContextual"/>
              </w:rPr>
              <w:t>E</w:t>
            </w:r>
          </w:p>
        </w:tc>
        <w:tc>
          <w:tcPr>
            <w:tcW w:w="953"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50</w:t>
            </w:r>
            <w:r>
              <w:rPr>
                <w:rFonts w:eastAsia="Open Sans" w:cs="Open Sans" w:ascii="Open Sans" w:hAnsi="Open Sans"/>
                <w:b/>
                <w:bCs/>
                <w:color w:val="000000"/>
                <w:kern w:val="2"/>
                <w:sz w:val="16"/>
                <w:szCs w:val="16"/>
                <w:lang w:val="gl-ES" w:eastAsia="zh-CN" w:bidi="es-ES"/>
                <w14:ligatures w14:val="standardContextual"/>
              </w:rPr>
              <w:t>B</w:t>
            </w:r>
          </w:p>
        </w:tc>
        <w:tc>
          <w:tcPr>
            <w:tcW w:w="956"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100</w:t>
            </w:r>
            <w:r>
              <w:rPr>
                <w:rFonts w:eastAsia="Open Sans" w:cs="Open Sans" w:ascii="Open Sans" w:hAnsi="Open Sans"/>
                <w:b/>
                <w:bCs/>
                <w:color w:val="000000"/>
                <w:kern w:val="2"/>
                <w:sz w:val="16"/>
                <w:szCs w:val="16"/>
                <w:lang w:val="gl-ES" w:eastAsia="zh-CN" w:bidi="es-ES"/>
                <w14:ligatures w14:val="standardContextual"/>
              </w:rPr>
              <w:t>B</w:t>
            </w:r>
          </w:p>
        </w:tc>
        <w:tc>
          <w:tcPr>
            <w:tcW w:w="955"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50</w:t>
            </w:r>
            <w:r>
              <w:rPr>
                <w:rFonts w:eastAsia="Open Sans" w:cs="Open Sans" w:ascii="Open Sans" w:hAnsi="Open Sans"/>
                <w:b/>
                <w:bCs/>
                <w:color w:val="000000"/>
                <w:kern w:val="2"/>
                <w:sz w:val="16"/>
                <w:szCs w:val="16"/>
                <w:lang w:val="gl-ES" w:eastAsia="zh-CN" w:bidi="es-ES"/>
                <w14:ligatures w14:val="standardContextual"/>
              </w:rPr>
              <w:t>M</w:t>
            </w:r>
          </w:p>
        </w:tc>
        <w:tc>
          <w:tcPr>
            <w:tcW w:w="954" w:type="dxa"/>
            <w:tcBorders>
              <w:top w:val="single" w:sz="2" w:space="0" w:color="000000"/>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100</w:t>
            </w:r>
            <w:r>
              <w:rPr>
                <w:rFonts w:eastAsia="Open Sans" w:cs="Open Sans" w:ascii="Open Sans" w:hAnsi="Open Sans"/>
                <w:b/>
                <w:bCs/>
                <w:color w:val="000000"/>
                <w:kern w:val="2"/>
                <w:sz w:val="16"/>
                <w:szCs w:val="16"/>
                <w:lang w:val="gl-ES" w:eastAsia="zh-CN" w:bidi="es-ES"/>
                <w14:ligatures w14:val="standardContextual"/>
              </w:rPr>
              <w:t>M</w:t>
            </w:r>
          </w:p>
        </w:tc>
        <w:tc>
          <w:tcPr>
            <w:tcW w:w="1137" w:type="dxa"/>
            <w:tcBorders>
              <w:top w:val="single" w:sz="2" w:space="0" w:color="000000"/>
              <w:left w:val="single" w:sz="2" w:space="0" w:color="000000"/>
              <w:bottom w:val="single" w:sz="2" w:space="0" w:color="000000"/>
              <w:right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r>
              <w:rPr>
                <w:rFonts w:eastAsia="Eurasia, Calibri" w:cs="Open Sans" w:ascii="Open Sans" w:hAnsi="Open Sans"/>
                <w:b/>
                <w:bCs/>
                <w:color w:val="000000"/>
                <w:kern w:val="2"/>
                <w:sz w:val="16"/>
                <w:szCs w:val="16"/>
                <w:lang w:val="gl-ES" w:eastAsia="zh-CN" w:bidi="es-ES"/>
                <w14:ligatures w14:val="standardContextual"/>
              </w:rPr>
              <w:t>200</w:t>
            </w:r>
            <w:r>
              <w:rPr>
                <w:rFonts w:eastAsia="Open Sans" w:cs="Open Sans" w:ascii="Open Sans" w:hAnsi="Open Sans"/>
                <w:b/>
                <w:bCs/>
                <w:color w:val="000000"/>
                <w:kern w:val="2"/>
                <w:sz w:val="16"/>
                <w:szCs w:val="16"/>
                <w:lang w:val="gl-ES" w:eastAsia="zh-CN" w:bidi="es-ES"/>
                <w14:ligatures w14:val="standardContextual"/>
              </w:rPr>
              <w:t>S</w:t>
            </w:r>
          </w:p>
        </w:tc>
      </w:tr>
      <w:tr>
        <w:trPr>
          <w:trHeight w:val="189" w:hRule="atLeast"/>
        </w:trPr>
        <w:tc>
          <w:tcPr>
            <w:tcW w:w="954" w:type="dxa"/>
            <w:tcBorders>
              <w:left w:val="single" w:sz="2" w:space="0" w:color="000000"/>
              <w:bottom w:val="single" w:sz="2" w:space="0" w:color="000000"/>
            </w:tcBorders>
            <w:shd w:fill="auto" w:val="clear"/>
            <w:vAlign w:val="center"/>
          </w:tcPr>
          <w:p>
            <w:pPr>
              <w:pStyle w:val="Normal"/>
              <w:suppressAutoHyphens w:val="true"/>
              <w:snapToGrid w:val="false"/>
              <w:spacing w:lineRule="auto" w:line="276"/>
              <w:ind w:left="-851" w:hanging="0"/>
              <w:jc w:val="right"/>
              <w:textAlignment w:val="baseline"/>
              <w:rPr/>
            </w:pPr>
            <w:bookmarkStart w:id="0" w:name="__UnoMark__996_28374524911"/>
            <w:bookmarkStart w:id="1" w:name="__UnoMark__595_8033973991"/>
            <w:bookmarkStart w:id="2" w:name="__UnoMark__653_4220305809"/>
            <w:bookmarkEnd w:id="0"/>
            <w:bookmarkEnd w:id="1"/>
            <w:bookmarkEnd w:id="2"/>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bookmarkStart w:id="3" w:name="__UnoMark__997_28374524911"/>
            <w:bookmarkStart w:id="4" w:name="__UnoMark__597_8033973991"/>
            <w:bookmarkStart w:id="5" w:name="__UnoMark__656_4220305809"/>
            <w:bookmarkEnd w:id="3"/>
            <w:bookmarkEnd w:id="4"/>
            <w:bookmarkEnd w:id="5"/>
          </w:p>
        </w:tc>
        <w:tc>
          <w:tcPr>
            <w:tcW w:w="954"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bookmarkStart w:id="6" w:name="__UnoMark__998_28374524911"/>
            <w:bookmarkStart w:id="7" w:name="__UnoMark__599_8033973991"/>
            <w:bookmarkStart w:id="8" w:name="__UnoMark__659_4220305809"/>
            <w:bookmarkEnd w:id="6"/>
            <w:bookmarkEnd w:id="7"/>
            <w:bookmarkEnd w:id="8"/>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bookmarkStart w:id="9" w:name="__UnoMark__999_28374524911"/>
            <w:bookmarkStart w:id="10" w:name="__UnoMark__601_8033973991"/>
            <w:bookmarkStart w:id="11" w:name="__UnoMark__662_4220305809"/>
            <w:bookmarkEnd w:id="9"/>
            <w:bookmarkEnd w:id="10"/>
            <w:bookmarkEnd w:id="11"/>
          </w:p>
        </w:tc>
        <w:tc>
          <w:tcPr>
            <w:tcW w:w="953"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bookmarkStart w:id="12" w:name="__UnoMark__1000_28374524911"/>
            <w:bookmarkStart w:id="13" w:name="__UnoMark__603_8033973991"/>
            <w:bookmarkStart w:id="14" w:name="__UnoMark__665_4220305809"/>
            <w:bookmarkEnd w:id="12"/>
            <w:bookmarkEnd w:id="13"/>
            <w:bookmarkEnd w:id="14"/>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2-</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bookmarkStart w:id="15" w:name="__UnoMark__1001_28374524911"/>
            <w:bookmarkStart w:id="16" w:name="__UnoMark__605_8033973991"/>
            <w:bookmarkStart w:id="17" w:name="__UnoMark__668_4220305809"/>
            <w:bookmarkEnd w:id="15"/>
            <w:bookmarkEnd w:id="16"/>
            <w:bookmarkEnd w:id="17"/>
          </w:p>
        </w:tc>
        <w:tc>
          <w:tcPr>
            <w:tcW w:w="957"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bookmarkStart w:id="18" w:name="__UnoMark__1002_28374524911"/>
            <w:bookmarkStart w:id="19" w:name="__UnoMark__607_8033973991"/>
            <w:bookmarkStart w:id="20" w:name="__UnoMark__671_4220305809"/>
            <w:bookmarkEnd w:id="18"/>
            <w:bookmarkEnd w:id="19"/>
            <w:bookmarkEnd w:id="20"/>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bookmarkStart w:id="21" w:name="__UnoMark__1003_28374524911"/>
            <w:bookmarkStart w:id="22" w:name="__UnoMark__609_8033973991"/>
            <w:bookmarkStart w:id="23" w:name="__UnoMark__674_4220305809"/>
            <w:bookmarkEnd w:id="21"/>
            <w:bookmarkEnd w:id="22"/>
            <w:bookmarkEnd w:id="23"/>
          </w:p>
        </w:tc>
        <w:tc>
          <w:tcPr>
            <w:tcW w:w="954"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bookmarkStart w:id="24" w:name="__UnoMark__1004_28374524911"/>
            <w:bookmarkStart w:id="25" w:name="__UnoMark__611_8033973991"/>
            <w:bookmarkStart w:id="26" w:name="__UnoMark__677_4220305809"/>
            <w:bookmarkEnd w:id="24"/>
            <w:bookmarkEnd w:id="25"/>
            <w:bookmarkEnd w:id="26"/>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bookmarkStart w:id="27" w:name="__UnoMark__1005_28374524911"/>
            <w:bookmarkStart w:id="28" w:name="__UnoMark__613_8033973991"/>
            <w:bookmarkStart w:id="29" w:name="__UnoMark__680_4220305809"/>
            <w:bookmarkEnd w:id="27"/>
            <w:bookmarkEnd w:id="28"/>
            <w:bookmarkEnd w:id="29"/>
          </w:p>
        </w:tc>
        <w:tc>
          <w:tcPr>
            <w:tcW w:w="953"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bookmarkStart w:id="30" w:name="__UnoMark__1006_28374524911"/>
            <w:bookmarkStart w:id="31" w:name="__UnoMark__615_8033973991"/>
            <w:bookmarkStart w:id="32" w:name="__UnoMark__683_4220305809"/>
            <w:bookmarkEnd w:id="30"/>
            <w:bookmarkEnd w:id="31"/>
            <w:bookmarkEnd w:id="32"/>
            <w:r>
              <w:rPr>
                <w:rFonts w:eastAsia="Open Sans" w:cs="Open Sans" w:ascii="Open Sans" w:hAnsi="Open Sans"/>
                <w:color w:val="000000"/>
                <w:kern w:val="2"/>
                <w:sz w:val="16"/>
                <w:szCs w:val="16"/>
                <w:lang w:val="gl-ES" w:eastAsia="zh-CN" w:bidi="es-ES"/>
                <w14:ligatures w14:val="standardContextual"/>
              </w:rPr>
              <w:t>S2</w:t>
            </w:r>
            <w:r>
              <w:rPr>
                <w:rFonts w:eastAsia="Eurasia, Calibri" w:cs="Open Sans" w:ascii="Open Sans" w:hAnsi="Open Sans"/>
                <w:color w:val="000000"/>
                <w:kern w:val="2"/>
                <w:sz w:val="16"/>
                <w:szCs w:val="16"/>
                <w:lang w:val="gl-ES" w:eastAsia="zh-CN" w:bidi="es-ES"/>
                <w14:ligatures w14:val="standardContextual"/>
              </w:rPr>
              <w:t>-</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9</w:t>
            </w:r>
          </w:p>
          <w:p>
            <w:pPr>
              <w:pStyle w:val="Normal"/>
              <w:suppressAutoHyphens w:val="true"/>
              <w:snapToGrid w:val="false"/>
              <w:spacing w:lineRule="auto" w:line="276"/>
              <w:ind w:left="-851" w:hanging="0"/>
              <w:jc w:val="right"/>
              <w:textAlignment w:val="baseline"/>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bookmarkStart w:id="33" w:name="__UnoMark__1007_28374524911"/>
            <w:bookmarkStart w:id="34" w:name="__UnoMark__617_8033973991"/>
            <w:bookmarkStart w:id="35" w:name="__UnoMark__686_4220305809"/>
            <w:bookmarkEnd w:id="33"/>
            <w:bookmarkEnd w:id="34"/>
            <w:bookmarkEnd w:id="35"/>
          </w:p>
        </w:tc>
        <w:tc>
          <w:tcPr>
            <w:tcW w:w="956"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bookmarkStart w:id="36" w:name="__UnoMark__1008_28374524911"/>
            <w:bookmarkStart w:id="37" w:name="__UnoMark__619_8033973991"/>
            <w:bookmarkStart w:id="38" w:name="__UnoMark__689_4220305809"/>
            <w:bookmarkEnd w:id="36"/>
            <w:bookmarkEnd w:id="37"/>
            <w:bookmarkEnd w:id="38"/>
            <w:r>
              <w:rPr>
                <w:rFonts w:eastAsia="Open Sans" w:cs="Open Sans" w:ascii="Open Sans" w:hAnsi="Open Sans"/>
                <w:color w:val="000000"/>
                <w:kern w:val="2"/>
                <w:sz w:val="16"/>
                <w:szCs w:val="16"/>
                <w:lang w:val="gl-ES" w:eastAsia="zh-CN" w:bidi="es-ES"/>
                <w14:ligatures w14:val="standardContextual"/>
              </w:rPr>
              <w:t>S2</w:t>
            </w:r>
            <w:r>
              <w:rPr>
                <w:rFonts w:eastAsia="Eurasia, Calibri" w:cs="Open Sans" w:ascii="Open Sans" w:hAnsi="Open Sans"/>
                <w:color w:val="000000"/>
                <w:kern w:val="2"/>
                <w:sz w:val="16"/>
                <w:szCs w:val="16"/>
                <w:lang w:val="gl-ES" w:eastAsia="zh-CN" w:bidi="es-ES"/>
                <w14:ligatures w14:val="standardContextual"/>
              </w:rPr>
              <w:t>-</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9</w:t>
            </w:r>
          </w:p>
          <w:p>
            <w:pPr>
              <w:pStyle w:val="Normal"/>
              <w:suppressAutoHyphens w:val="true"/>
              <w:snapToGrid w:val="false"/>
              <w:spacing w:lineRule="auto" w:line="276"/>
              <w:ind w:left="-851" w:hanging="0"/>
              <w:jc w:val="right"/>
              <w:textAlignment w:val="baseline"/>
              <w:rPr/>
            </w:pP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11-</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bookmarkStart w:id="39" w:name="__UnoMark__1009_28374524911"/>
            <w:bookmarkStart w:id="40" w:name="__UnoMark__621_8033973991"/>
            <w:bookmarkStart w:id="41" w:name="__UnoMark__692_4220305809"/>
            <w:bookmarkEnd w:id="39"/>
            <w:bookmarkEnd w:id="40"/>
            <w:bookmarkEnd w:id="41"/>
          </w:p>
        </w:tc>
        <w:tc>
          <w:tcPr>
            <w:tcW w:w="955"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bookmarkStart w:id="42" w:name="__UnoMark__1010_28374524911"/>
            <w:bookmarkStart w:id="43" w:name="__UnoMark__623_8033973991"/>
            <w:bookmarkStart w:id="44" w:name="__UnoMark__695_4220305809"/>
            <w:bookmarkEnd w:id="42"/>
            <w:bookmarkEnd w:id="43"/>
            <w:bookmarkEnd w:id="44"/>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3-</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bookmarkStart w:id="45" w:name="__UnoMark__1011_28374524911"/>
            <w:bookmarkStart w:id="46" w:name="__UnoMark__625_8033973991"/>
            <w:bookmarkStart w:id="47" w:name="__UnoMark__698_4220305809"/>
            <w:bookmarkEnd w:id="45"/>
            <w:bookmarkEnd w:id="46"/>
            <w:bookmarkEnd w:id="47"/>
          </w:p>
        </w:tc>
        <w:tc>
          <w:tcPr>
            <w:tcW w:w="954" w:type="dxa"/>
            <w:tcBorders>
              <w:left w:val="single" w:sz="2" w:space="0" w:color="000000"/>
              <w:bottom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bookmarkStart w:id="48" w:name="__UnoMark__1012_28374524911"/>
            <w:bookmarkStart w:id="49" w:name="__UnoMark__627_8033973991"/>
            <w:bookmarkStart w:id="50" w:name="__UnoMark__701_4220305809"/>
            <w:bookmarkEnd w:id="48"/>
            <w:bookmarkEnd w:id="49"/>
            <w:bookmarkEnd w:id="50"/>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5-</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bookmarkStart w:id="51" w:name="__UnoMark__1013_28374524911"/>
            <w:bookmarkStart w:id="52" w:name="__UnoMark__629_8033973991"/>
            <w:bookmarkStart w:id="53" w:name="__UnoMark__704_4220305809"/>
            <w:bookmarkEnd w:id="51"/>
            <w:bookmarkEnd w:id="52"/>
            <w:bookmarkEnd w:id="53"/>
          </w:p>
        </w:tc>
        <w:tc>
          <w:tcPr>
            <w:tcW w:w="1137" w:type="dxa"/>
            <w:tcBorders>
              <w:left w:val="single" w:sz="2" w:space="0" w:color="000000"/>
              <w:bottom w:val="single" w:sz="2" w:space="0" w:color="000000"/>
              <w:right w:val="single" w:sz="2" w:space="0" w:color="000000"/>
            </w:tcBorders>
            <w:shd w:fill="auto" w:val="clear"/>
            <w:tcMar>
              <w:top w:w="0" w:type="dxa"/>
              <w:left w:w="10" w:type="dxa"/>
              <w:bottom w:w="0" w:type="dxa"/>
              <w:right w:w="10" w:type="dxa"/>
            </w:tcMar>
            <w:vAlign w:val="center"/>
          </w:tcPr>
          <w:p>
            <w:pPr>
              <w:pStyle w:val="Normal"/>
              <w:suppressAutoHyphens w:val="true"/>
              <w:snapToGrid w:val="false"/>
              <w:spacing w:lineRule="auto" w:line="276"/>
              <w:ind w:left="-851" w:hanging="0"/>
              <w:jc w:val="right"/>
              <w:textAlignment w:val="baseline"/>
              <w:rPr/>
            </w:pPr>
            <w:bookmarkStart w:id="54" w:name="__UnoMark__1014_28374524911"/>
            <w:bookmarkStart w:id="55" w:name="__UnoMark__631_8033973991"/>
            <w:bookmarkStart w:id="56" w:name="__UnoMark__707_4220305809"/>
            <w:bookmarkEnd w:id="54"/>
            <w:bookmarkEnd w:id="55"/>
            <w:bookmarkEnd w:id="56"/>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3-</w:t>
            </w:r>
            <w:r>
              <w:rPr>
                <w:rFonts w:eastAsia="Open Sans" w:cs="Open Sans" w:ascii="Open Sans" w:hAnsi="Open Sans"/>
                <w:color w:val="000000"/>
                <w:kern w:val="2"/>
                <w:sz w:val="16"/>
                <w:szCs w:val="16"/>
                <w:lang w:val="gl-ES" w:eastAsia="zh-CN" w:bidi="es-ES"/>
                <w14:ligatures w14:val="standardContextual"/>
              </w:rPr>
              <w:t>S</w:t>
            </w:r>
            <w:r>
              <w:rPr>
                <w:rFonts w:eastAsia="Eurasia, Calibri" w:cs="Open Sans" w:ascii="Open Sans" w:hAnsi="Open Sans"/>
                <w:color w:val="000000"/>
                <w:kern w:val="2"/>
                <w:sz w:val="16"/>
                <w:szCs w:val="16"/>
                <w:lang w:val="gl-ES" w:eastAsia="zh-CN" w:bidi="es-ES"/>
                <w14:ligatures w14:val="standardContextual"/>
              </w:rPr>
              <w:t>13</w:t>
            </w:r>
          </w:p>
        </w:tc>
      </w:tr>
    </w:tbl>
    <w:p>
      <w:pPr>
        <w:pStyle w:val="Normal"/>
        <w:widowControl w:val="false"/>
        <w:numPr>
          <w:ilvl w:val="0"/>
          <w:numId w:val="0"/>
        </w:numPr>
        <w:suppressAutoHyphens w:val="true"/>
        <w:spacing w:lineRule="auto" w:line="276" w:before="113" w:after="0"/>
        <w:ind w:left="-851" w:hanging="0"/>
        <w:jc w:val="left"/>
        <w:textAlignment w:val="baseline"/>
        <w:outlineLvl w:val="0"/>
        <w:rPr>
          <w:rFonts w:ascii="Sanford" w:hAnsi="Sanford" w:eastAsia="DejaVu Sans" w:cs="Sanford"/>
          <w:bCs/>
          <w:spacing w:val="10"/>
          <w:kern w:val="2"/>
          <w:sz w:val="36"/>
          <w:szCs w:val="28"/>
          <w:lang w:val="gl-ES" w:eastAsia="es-ES" w:bidi="gl-ES"/>
        </w:rPr>
      </w:pPr>
      <w:r>
        <w:rPr>
          <w:rFonts w:eastAsia="DejaVu Sans" w:cs="Sanford" w:ascii="Sanford" w:hAnsi="Sanford"/>
          <w:bCs/>
          <w:spacing w:val="10"/>
          <w:kern w:val="2"/>
          <w:sz w:val="36"/>
          <w:szCs w:val="28"/>
          <w:lang w:val="gl-ES" w:eastAsia="es-ES" w:bidi="gl-ES"/>
        </w:rPr>
      </w:r>
    </w:p>
    <w:p>
      <w:pPr>
        <w:pStyle w:val="Normal"/>
        <w:widowControl w:val="false"/>
        <w:numPr>
          <w:ilvl w:val="0"/>
          <w:numId w:val="0"/>
        </w:numPr>
        <w:suppressAutoHyphens w:val="true"/>
        <w:spacing w:lineRule="auto" w:line="276" w:before="113" w:after="0"/>
        <w:ind w:left="-851" w:hanging="0"/>
        <w:jc w:val="left"/>
        <w:textAlignment w:val="baseline"/>
        <w:outlineLvl w:val="0"/>
        <w:rPr>
          <w:rFonts w:ascii="Sanford" w:hAnsi="Sanford" w:eastAsia="DejaVu Sans" w:cs="Sanford"/>
          <w:bCs/>
          <w:spacing w:val="10"/>
          <w:kern w:val="2"/>
          <w:sz w:val="36"/>
          <w:szCs w:val="28"/>
          <w:lang w:val="gl-ES" w:eastAsia="es-ES" w:bidi="gl-ES"/>
        </w:rPr>
      </w:pPr>
      <w:r>
        <w:rPr>
          <w:rFonts w:eastAsia="DejaVu Sans" w:cs="Sanford" w:ascii="Sanford" w:hAnsi="Sanford"/>
          <w:bCs/>
          <w:spacing w:val="10"/>
          <w:kern w:val="2"/>
          <w:sz w:val="36"/>
          <w:szCs w:val="28"/>
          <w:lang w:val="gl-ES" w:eastAsia="es-ES" w:bidi="gl-ES"/>
        </w:rPr>
        <w:t>Anexo II</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1.- La inscripción de los nadadores con discapacidad deberá de enviarse acompañada de la FICHA DE VALORACIÓN FUNCIONAL en la que se determina la clase en la que están encuadrados para cada estilo. En el caso de no tener la ficha expedida por la FEDDF, deberán obtenerla, en el siguiente centro:</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FIMEGA</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(Dr. Carlos Alonso Hernández)</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Avda. Eduardo Pondal, 68 bajo (a 200 m de la Estación de Autobús y Tren)</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Pontevedra</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Teléfono: 986868544</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ES preciso solicitar cita previa, especificando que es para una valoración funcional para la Federación Gallega de Natación.</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El coste de la valoración correrá a cargo del deportista.</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Para facilitar la evaluación es conveniente acercar los informes de lesión, si se tienen.</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2.- Las marcas de inscripción, deberán haberse conseguido en competiciones oficiales, bien del calendario de la FEDDF o de la FEGAN.</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3.- Tanto en el Campeonato Gallego cómo en las demás competiciones de la FEGAN donde participen, se aplicará por parte de los Jueces y Árbitros de la competición, las recomendaciones contempladas en el Manual de Árbitro de Natación ( CNA) en el apartado N.18 Nadadores Discapacitados</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http://www.fegan.org/cms/content/view/4/5/</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t>4.- En el momento de tramitar la licencia de deportista, deberá advertirse que se trata de un nadador con discapacidad.</w:t>
      </w:r>
    </w:p>
    <w:p>
      <w:pPr>
        <w:pStyle w:val="Normal"/>
        <w:widowControl w:val="false"/>
        <w:suppressAutoHyphens w:val="true"/>
        <w:spacing w:lineRule="auto" w:line="276" w:before="113" w:after="0"/>
        <w:ind w:left="-851" w:hanging="0"/>
        <w:textAlignment w:val="baseline"/>
        <w:rPr>
          <w:rFonts w:ascii="Open Sans" w:hAnsi="Open Sans" w:eastAsia="Eurasia, Calibri" w:cs="Eurasia, Calibri"/>
          <w:color w:val="000000"/>
          <w:kern w:val="2"/>
          <w:sz w:val="20"/>
          <w:szCs w:val="24"/>
          <w:lang w:val="gl-ES" w:eastAsia="zh-CN" w:bidi="gl-ES"/>
        </w:rPr>
      </w:pPr>
      <w:r>
        <w:rPr>
          <w:rFonts w:eastAsia="Eurasia, Calibri" w:cs="Eurasia, Calibri" w:ascii="Open Sans" w:hAnsi="Open Sans"/>
          <w:color w:val="000000"/>
          <w:kern w:val="2"/>
          <w:sz w:val="20"/>
          <w:szCs w:val="24"/>
          <w:lang w:val="gl-ES" w:eastAsia="zh-CN" w:bidi="gl-ES"/>
        </w:rPr>
      </w:r>
    </w:p>
    <w:p>
      <w:pPr>
        <w:pStyle w:val="Normal"/>
        <w:widowControl w:val="false"/>
        <w:suppressAutoHyphens w:val="true"/>
        <w:spacing w:lineRule="auto" w:line="276" w:before="113" w:after="0"/>
        <w:ind w:left="-851" w:right="113" w:hanging="0"/>
        <w:textAlignment w:val="baseline"/>
        <w:rPr>
          <w:rFonts w:ascii="Open Sans" w:hAnsi="Open Sans" w:eastAsia="Eurasia, Calibri" w:cs="Eurasia, Calibri"/>
          <w:kern w:val="2"/>
          <w:sz w:val="20"/>
          <w:szCs w:val="24"/>
          <w:lang w:val="gl-ES" w:eastAsia="es-ES" w:bidi="gl-ES"/>
        </w:rPr>
      </w:pPr>
      <w:r>
        <w:rPr>
          <w:rFonts w:eastAsia="Eurasia, Calibri" w:cs="Eurasia, Calibri" w:ascii="Open Sans" w:hAnsi="Open Sans"/>
          <w:kern w:val="2"/>
          <w:sz w:val="20"/>
          <w:szCs w:val="24"/>
          <w:lang w:val="gl-ES" w:eastAsia="es-ES" w:bidi="gl-ES"/>
        </w:rPr>
      </w:r>
    </w:p>
    <w:p>
      <w:pPr>
        <w:pStyle w:val="Normal"/>
        <w:rPr/>
      </w:pPr>
      <w:r>
        <w:rPr/>
      </w:r>
    </w:p>
    <w:sectPr>
      <w:headerReference w:type="default" r:id="rId2"/>
      <w:footerReference w:type="default" r:id="rId3"/>
      <w:type w:val="nextPage"/>
      <w:pgSz w:w="11906" w:h="16838"/>
      <w:pgMar w:left="1701" w:right="170" w:header="709" w:top="1134"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Open Sans">
    <w:charset w:val="00"/>
    <w:family w:val="roman"/>
    <w:pitch w:val="variable"/>
  </w:font>
  <w:font w:name="Calibri">
    <w:charset w:val="00"/>
    <w:family w:val="roman"/>
    <w:pitch w:val="variable"/>
  </w:font>
  <w:font w:name="Sanford">
    <w:charset w:val="00"/>
    <w:family w:val="roman"/>
    <w:pitch w:val="variable"/>
  </w:font>
  <w:font w:name="Eurasia">
    <w:charset w:val="00"/>
    <w:family w:val="roman"/>
    <w:pitch w:val="variable"/>
  </w:font>
  <w:font w:name="Eurasia">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9"/>
        <w:tab w:val="center" w:pos="4818" w:leader="none"/>
        <w:tab w:val="right" w:pos="9637" w:leader="none"/>
      </w:tabs>
      <w:rPr>
        <w:rFonts w:ascii="Eurasia" w:hAnsi="Eurasia" w:eastAsia="Eurasia" w:cs="Eurasia"/>
        <w:i/>
        <w:i/>
        <w:sz w:val="16"/>
      </w:rPr>
    </w:pPr>
    <w:r>
      <w:rPr>
        <w:rFonts w:eastAsia="Eurasia" w:cs="Eurasia" w:ascii="Eurasia" w:hAnsi="Eurasia"/>
        <w:i/>
        <w:sz w:val="16"/>
      </w:rPr>
      <mc:AlternateContent>
        <mc:Choice Requires="wps">
          <w:drawing>
            <wp:anchor behindDoc="1" distT="0" distB="0" distL="0" distR="0" simplePos="0" locked="0" layoutInCell="1" allowOverlap="1" relativeHeight="16" wp14:anchorId="6B646673">
              <wp:simplePos x="0" y="0"/>
              <wp:positionH relativeFrom="column">
                <wp:posOffset>1691640</wp:posOffset>
              </wp:positionH>
              <wp:positionV relativeFrom="paragraph">
                <wp:posOffset>156210</wp:posOffset>
              </wp:positionV>
              <wp:extent cx="4535170" cy="478155"/>
              <wp:effectExtent l="0" t="0" r="1270" b="0"/>
              <wp:wrapNone/>
              <wp:docPr id="5" name="Forma21"/>
              <a:graphic xmlns:a="http://schemas.openxmlformats.org/drawingml/2006/main">
                <a:graphicData uri="http://schemas.microsoft.com/office/word/2010/wordprocessingShape">
                  <wps:wsp>
                    <wps:cNvSpPr/>
                    <wps:spPr>
                      <a:xfrm>
                        <a:off x="0" y="0"/>
                        <a:ext cx="4534560" cy="477360"/>
                      </a:xfrm>
                      <a:prstGeom prst="rect">
                        <a:avLst/>
                      </a:prstGeom>
                      <a:noFill/>
                      <a:ln>
                        <a:noFill/>
                      </a:ln>
                    </wps:spPr>
                    <wps:style>
                      <a:lnRef idx="0"/>
                      <a:fillRef idx="0"/>
                      <a:effectRef idx="0"/>
                      <a:fontRef idx="minor"/>
                    </wps:style>
                    <wps:txb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Forma21" stroked="f" style="position:absolute;margin-left:133.2pt;margin-top:12.3pt;width:357pt;height:37.55pt" wp14:anchorId="6B646673">
              <w10:wrap type="square"/>
              <v:fill o:detectmouseclick="t" on="false"/>
              <v:stroke color="#3465a4" joinstyle="round" endcap="flat"/>
              <v:textbo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v:textbox>
            </v:rect>
          </w:pict>
        </mc:Fallback>
      </mc:AlternateContent>
    </w:r>
  </w:p>
  <w:p>
    <w:pPr>
      <w:pStyle w:val="Normal"/>
      <w:suppressLineNumbers/>
      <w:tabs>
        <w:tab w:val="clear" w:pos="709"/>
        <w:tab w:val="center" w:pos="4818" w:leader="none"/>
        <w:tab w:val="right" w:pos="9637" w:leader="none"/>
      </w:tabs>
      <w:rPr/>
    </w:pPr>
    <w:r>
      <w:rPr>
        <w:rFonts w:eastAsia="Eurasia" w:cs="Eurasia" w:ascii="Open Sans" w:hAnsi="Open Sans"/>
        <w:sz w:val="16"/>
      </w:rPr>
      <w:fldChar w:fldCharType="begin"/>
    </w:r>
    <w:r>
      <w:rPr>
        <w:sz w:val="16"/>
        <w:rFonts w:eastAsia="Eurasia" w:cs="Eurasia" w:ascii="Open Sans" w:hAnsi="Open Sans"/>
      </w:rPr>
      <w:instrText> PAGE </w:instrText>
    </w:r>
    <w:r>
      <w:rPr>
        <w:sz w:val="16"/>
        <w:rFonts w:eastAsia="Eurasia" w:cs="Eurasia" w:ascii="Open Sans" w:hAnsi="Open Sans"/>
      </w:rPr>
      <w:fldChar w:fldCharType="separate"/>
    </w:r>
    <w:r>
      <w:rPr>
        <w:sz w:val="16"/>
        <w:rFonts w:eastAsia="Eurasia" w:cs="Eurasia" w:ascii="Open Sans" w:hAnsi="Open Sans"/>
      </w:rPr>
      <w:t>5</w:t>
    </w:r>
    <w:r>
      <w:rPr>
        <w:sz w:val="16"/>
        <w:rFonts w:eastAsia="Eurasia" w:cs="Eurasia" w:ascii="Open Sans" w:hAnsi="Open Sans"/>
      </w:rPr>
      <w:fldChar w:fldCharType="end"/>
    </w:r>
    <w:r>
      <w:rPr>
        <w:rFonts w:eastAsia="Eurasia" w:cs="Eurasia" w:ascii="Open Sans" w:hAnsi="Open Sans"/>
        <w:sz w:val="16"/>
      </w:rPr>
      <w:t xml:space="preserve"> </w:t>
    </w:r>
    <w:r>
      <w:rPr>
        <w:rFonts w:eastAsia="Eurasia" w:cs="Eurasia" w:ascii="Open Sans" w:hAnsi="Open Sans"/>
        <w:sz w:val="16"/>
      </w:rPr>
      <w:t xml:space="preserve">/ </w:t>
    </w:r>
    <w:r>
      <w:rPr>
        <w:rFonts w:eastAsia="Eurasia" w:cs="Eurasia" w:ascii="Open Sans" w:hAnsi="Open Sans"/>
        <w:sz w:val="16"/>
      </w:rPr>
      <w:fldChar w:fldCharType="begin"/>
    </w:r>
    <w:r>
      <w:rPr>
        <w:sz w:val="16"/>
        <w:rFonts w:eastAsia="Eurasia" w:cs="Eurasia" w:ascii="Open Sans" w:hAnsi="Open Sans"/>
      </w:rPr>
      <w:instrText> NUMPAGES </w:instrText>
    </w:r>
    <w:r>
      <w:rPr>
        <w:sz w:val="16"/>
        <w:rFonts w:eastAsia="Eurasia" w:cs="Eurasia" w:ascii="Open Sans" w:hAnsi="Open Sans"/>
      </w:rPr>
      <w:fldChar w:fldCharType="separate"/>
    </w:r>
    <w:r>
      <w:rPr>
        <w:sz w:val="16"/>
        <w:rFonts w:eastAsia="Eurasia" w:cs="Eurasia" w:ascii="Open Sans" w:hAnsi="Open Sans"/>
      </w:rPr>
      <w:t>5</w:t>
    </w:r>
    <w:r>
      <w:rPr>
        <w:sz w:val="16"/>
        <w:rFonts w:eastAsia="Eurasia" w:cs="Eurasia" w:ascii="Open Sans" w:hAnsi="Open Sans"/>
      </w:rPr>
      <w:fldChar w:fldCharType="end"/>
    </w:r>
  </w:p>
  <w:p>
    <w:pPr>
      <w:pStyle w:val="Normal"/>
      <w:tabs>
        <w:tab w:val="clear" w:pos="709"/>
        <w:tab w:val="center" w:pos="4252" w:leader="none"/>
        <w:tab w:val="right" w:pos="8504" w:leader="none"/>
      </w:tabs>
      <w:rPr/>
    </w:pPr>
    <w:r>
      <w:rPr/>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9"/>
        <w:tab w:val="center" w:pos="4819" w:leader="none"/>
        <w:tab w:val="right" w:pos="9638" w:leader="none"/>
      </w:tabs>
      <w:rPr>
        <w:rFonts w:ascii="Open Sans" w:hAnsi="Open Sans" w:eastAsia="Open Sans" w:cs="Open Sans"/>
        <w:sz w:val="20"/>
      </w:rPr>
    </w:pPr>
    <w:r>
      <w:rPr>
        <w:rFonts w:eastAsia="Open Sans" w:cs="Open Sans" w:ascii="Open Sans" w:hAnsi="Open Sans"/>
        <w:sz w:val="20"/>
      </w:rPr>
      <mc:AlternateContent>
        <mc:Choice Requires="wps">
          <w:drawing>
            <wp:anchor behindDoc="1" distT="0" distB="0" distL="0" distR="0" simplePos="0" locked="0" layoutInCell="1" allowOverlap="1" relativeHeight="11" wp14:anchorId="45E2FE4B">
              <wp:simplePos x="0" y="0"/>
              <wp:positionH relativeFrom="column">
                <wp:posOffset>440690</wp:posOffset>
              </wp:positionH>
              <wp:positionV relativeFrom="paragraph">
                <wp:posOffset>-342265</wp:posOffset>
              </wp:positionV>
              <wp:extent cx="1479550" cy="522605"/>
              <wp:effectExtent l="0" t="0" r="8255" b="12700"/>
              <wp:wrapNone/>
              <wp:docPr id="1" name="Cuadro de texto 5"/>
              <a:graphic xmlns:a="http://schemas.openxmlformats.org/drawingml/2006/main">
                <a:graphicData uri="http://schemas.microsoft.com/office/word/2010/wordprocessingShape">
                  <wps:wsp>
                    <wps:cNvSpPr/>
                    <wps:spPr>
                      <a:xfrm>
                        <a:off x="0" y="0"/>
                        <a:ext cx="1478880" cy="52200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Cuadro de texto 5" stroked="f" style="position:absolute;margin-left:34.7pt;margin-top:-26.95pt;width:116.4pt;height:41.05pt" wp14:anchorId="45E2FE4B">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6">
          <wp:simplePos x="0" y="0"/>
          <wp:positionH relativeFrom="column">
            <wp:posOffset>-765810</wp:posOffset>
          </wp:positionH>
          <wp:positionV relativeFrom="paragraph">
            <wp:posOffset>-344170</wp:posOffset>
          </wp:positionV>
          <wp:extent cx="1090295" cy="718820"/>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1" allowOverlap="1" relativeHeight="21">
          <wp:simplePos x="0" y="0"/>
          <wp:positionH relativeFrom="column">
            <wp:posOffset>4177030</wp:posOffset>
          </wp:positionH>
          <wp:positionV relativeFrom="paragraph">
            <wp:posOffset>-228600</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bookmarkStart w:id="57" w:name="_GoBack"/>
    <w:bookmarkStart w:id="58" w:name="_GoBack"/>
    <w:bookmarkEnd w:id="58"/>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Eurasia" w:hAnsi="Eurasia" w:cs="Eurasia" w:hint="default"/>
        <w:sz w:val="20"/>
        <w:szCs w:val="18"/>
        <w:rFonts w:cs="StarSymbol"/>
        <w:color w:val="000000"/>
      </w:rPr>
    </w:lvl>
    <w:lvl w:ilvl="1">
      <w:start w:val="1"/>
      <w:numFmt w:val="bullet"/>
      <w:lvlText w:val="◦"/>
      <w:lvlJc w:val="left"/>
      <w:pPr>
        <w:ind w:left="1080" w:hanging="360"/>
      </w:pPr>
      <w:rPr>
        <w:rFonts w:ascii="Eurasia" w:hAnsi="Eurasia" w:cs="Eurasia" w:hint="default"/>
        <w:sz w:val="18"/>
        <w:szCs w:val="18"/>
        <w:rFonts w:cs="StarSymbol"/>
        <w:color w:val="000000"/>
      </w:rPr>
    </w:lvl>
    <w:lvl w:ilvl="2">
      <w:start w:val="1"/>
      <w:numFmt w:val="bullet"/>
      <w:lvlText w:val="▪"/>
      <w:lvlJc w:val="left"/>
      <w:pPr>
        <w:ind w:left="1440" w:hanging="360"/>
      </w:pPr>
      <w:rPr>
        <w:rFonts w:ascii="Eurasia" w:hAnsi="Eurasia" w:cs="Eurasia" w:hint="default"/>
        <w:sz w:val="18"/>
        <w:szCs w:val="18"/>
        <w:rFonts w:cs="StarSymbol"/>
        <w:color w:val="000000"/>
      </w:rPr>
    </w:lvl>
    <w:lvl w:ilvl="3">
      <w:start w:val="1"/>
      <w:numFmt w:val="bullet"/>
      <w:lvlText w:val="•"/>
      <w:lvlJc w:val="left"/>
      <w:pPr>
        <w:ind w:left="1800" w:hanging="360"/>
      </w:pPr>
      <w:rPr>
        <w:rFonts w:ascii="Eurasia" w:hAnsi="Eurasia" w:cs="Eurasia" w:hint="default"/>
        <w:sz w:val="18"/>
        <w:szCs w:val="18"/>
        <w:rFonts w:cs="StarSymbol"/>
        <w:color w:val="000000"/>
      </w:rPr>
    </w:lvl>
    <w:lvl w:ilvl="4">
      <w:start w:val="1"/>
      <w:numFmt w:val="bullet"/>
      <w:lvlText w:val="◦"/>
      <w:lvlJc w:val="left"/>
      <w:pPr>
        <w:ind w:left="2160" w:hanging="360"/>
      </w:pPr>
      <w:rPr>
        <w:rFonts w:ascii="Eurasia" w:hAnsi="Eurasia" w:cs="Eurasia" w:hint="default"/>
        <w:sz w:val="18"/>
        <w:szCs w:val="18"/>
        <w:rFonts w:cs="StarSymbol"/>
        <w:color w:val="000000"/>
      </w:rPr>
    </w:lvl>
    <w:lvl w:ilvl="5">
      <w:start w:val="1"/>
      <w:numFmt w:val="bullet"/>
      <w:lvlText w:val="▪"/>
      <w:lvlJc w:val="left"/>
      <w:pPr>
        <w:ind w:left="2520" w:hanging="360"/>
      </w:pPr>
      <w:rPr>
        <w:rFonts w:ascii="Eurasia" w:hAnsi="Eurasia" w:cs="Eurasia" w:hint="default"/>
        <w:sz w:val="18"/>
        <w:szCs w:val="18"/>
        <w:rFonts w:cs="StarSymbol"/>
        <w:color w:val="000000"/>
      </w:rPr>
    </w:lvl>
    <w:lvl w:ilvl="6">
      <w:start w:val="1"/>
      <w:numFmt w:val="bullet"/>
      <w:lvlText w:val="•"/>
      <w:lvlJc w:val="left"/>
      <w:pPr>
        <w:ind w:left="2880" w:hanging="360"/>
      </w:pPr>
      <w:rPr>
        <w:rFonts w:ascii="Eurasia" w:hAnsi="Eurasia" w:cs="Eurasia" w:hint="default"/>
        <w:sz w:val="18"/>
        <w:szCs w:val="18"/>
        <w:rFonts w:cs="StarSymbol"/>
        <w:color w:val="000000"/>
      </w:rPr>
    </w:lvl>
    <w:lvl w:ilvl="7">
      <w:start w:val="1"/>
      <w:numFmt w:val="bullet"/>
      <w:lvlText w:val="◦"/>
      <w:lvlJc w:val="left"/>
      <w:pPr>
        <w:ind w:left="3240" w:hanging="360"/>
      </w:pPr>
      <w:rPr>
        <w:rFonts w:ascii="Eurasia" w:hAnsi="Eurasia" w:cs="Eurasia" w:hint="default"/>
        <w:sz w:val="18"/>
        <w:szCs w:val="18"/>
        <w:rFonts w:cs="StarSymbol"/>
        <w:color w:val="000000"/>
      </w:rPr>
    </w:lvl>
    <w:lvl w:ilvl="8">
      <w:start w:val="1"/>
      <w:numFmt w:val="bullet"/>
      <w:lvlText w:val="▪"/>
      <w:lvlJc w:val="left"/>
      <w:pPr>
        <w:ind w:left="3600" w:hanging="360"/>
      </w:pPr>
      <w:rPr>
        <w:rFonts w:ascii="Eurasia" w:hAnsi="Eurasia" w:cs="Eurasia" w:hint="default"/>
        <w:sz w:val="18"/>
        <w:szCs w:val="18"/>
        <w:rFonts w:cs="StarSymbol"/>
        <w:color w:val="000000"/>
      </w:rPr>
    </w:lvl>
  </w:abstractNum>
  <w:abstractNum w:abstractNumId="2">
    <w:lvl w:ilvl="0">
      <w:start w:val="1"/>
      <w:numFmt w:val="bullet"/>
      <w:lvlText w:val="•"/>
      <w:lvlJc w:val="left"/>
      <w:pPr>
        <w:ind w:left="720" w:hanging="360"/>
      </w:pPr>
      <w:rPr>
        <w:rFonts w:ascii="Eurasia" w:hAnsi="Eurasia" w:cs="Eurasia" w:hint="default"/>
        <w:sz w:val="20"/>
        <w:szCs w:val="18"/>
        <w:rFonts w:cs="StarSymbol"/>
        <w:color w:val="000000"/>
      </w:rPr>
    </w:lvl>
    <w:lvl w:ilvl="1">
      <w:start w:val="1"/>
      <w:numFmt w:val="bullet"/>
      <w:lvlText w:val="◦"/>
      <w:lvlJc w:val="left"/>
      <w:pPr>
        <w:ind w:left="1080" w:hanging="360"/>
      </w:pPr>
      <w:rPr>
        <w:rFonts w:ascii="Eurasia" w:hAnsi="Eurasia" w:cs="Eurasia" w:hint="default"/>
        <w:sz w:val="18"/>
        <w:szCs w:val="18"/>
        <w:rFonts w:cs="StarSymbol"/>
        <w:color w:val="000000"/>
      </w:rPr>
    </w:lvl>
    <w:lvl w:ilvl="2">
      <w:start w:val="1"/>
      <w:numFmt w:val="bullet"/>
      <w:lvlText w:val="▪"/>
      <w:lvlJc w:val="left"/>
      <w:pPr>
        <w:ind w:left="1440" w:hanging="360"/>
      </w:pPr>
      <w:rPr>
        <w:rFonts w:ascii="Eurasia" w:hAnsi="Eurasia" w:cs="Eurasia" w:hint="default"/>
        <w:sz w:val="18"/>
        <w:szCs w:val="18"/>
        <w:rFonts w:cs="StarSymbol"/>
        <w:color w:val="000000"/>
      </w:rPr>
    </w:lvl>
    <w:lvl w:ilvl="3">
      <w:start w:val="1"/>
      <w:numFmt w:val="bullet"/>
      <w:lvlText w:val="•"/>
      <w:lvlJc w:val="left"/>
      <w:pPr>
        <w:ind w:left="1800" w:hanging="360"/>
      </w:pPr>
      <w:rPr>
        <w:rFonts w:ascii="Eurasia" w:hAnsi="Eurasia" w:cs="Eurasia" w:hint="default"/>
        <w:sz w:val="18"/>
        <w:szCs w:val="18"/>
        <w:rFonts w:cs="StarSymbol"/>
        <w:color w:val="000000"/>
      </w:rPr>
    </w:lvl>
    <w:lvl w:ilvl="4">
      <w:start w:val="1"/>
      <w:numFmt w:val="bullet"/>
      <w:lvlText w:val="◦"/>
      <w:lvlJc w:val="left"/>
      <w:pPr>
        <w:ind w:left="2160" w:hanging="360"/>
      </w:pPr>
      <w:rPr>
        <w:rFonts w:ascii="Eurasia" w:hAnsi="Eurasia" w:cs="Eurasia" w:hint="default"/>
        <w:sz w:val="18"/>
        <w:szCs w:val="18"/>
        <w:rFonts w:cs="StarSymbol"/>
        <w:color w:val="000000"/>
      </w:rPr>
    </w:lvl>
    <w:lvl w:ilvl="5">
      <w:start w:val="1"/>
      <w:numFmt w:val="bullet"/>
      <w:lvlText w:val="▪"/>
      <w:lvlJc w:val="left"/>
      <w:pPr>
        <w:ind w:left="2520" w:hanging="360"/>
      </w:pPr>
      <w:rPr>
        <w:rFonts w:ascii="Eurasia" w:hAnsi="Eurasia" w:cs="Eurasia" w:hint="default"/>
        <w:sz w:val="18"/>
        <w:szCs w:val="18"/>
        <w:rFonts w:cs="StarSymbol"/>
        <w:color w:val="000000"/>
      </w:rPr>
    </w:lvl>
    <w:lvl w:ilvl="6">
      <w:start w:val="1"/>
      <w:numFmt w:val="bullet"/>
      <w:lvlText w:val="•"/>
      <w:lvlJc w:val="left"/>
      <w:pPr>
        <w:ind w:left="2880" w:hanging="360"/>
      </w:pPr>
      <w:rPr>
        <w:rFonts w:ascii="Eurasia" w:hAnsi="Eurasia" w:cs="Eurasia" w:hint="default"/>
        <w:sz w:val="18"/>
        <w:szCs w:val="18"/>
        <w:rFonts w:cs="StarSymbol"/>
        <w:color w:val="000000"/>
      </w:rPr>
    </w:lvl>
    <w:lvl w:ilvl="7">
      <w:start w:val="1"/>
      <w:numFmt w:val="bullet"/>
      <w:lvlText w:val="◦"/>
      <w:lvlJc w:val="left"/>
      <w:pPr>
        <w:ind w:left="3240" w:hanging="360"/>
      </w:pPr>
      <w:rPr>
        <w:rFonts w:ascii="Eurasia" w:hAnsi="Eurasia" w:cs="Eurasia" w:hint="default"/>
        <w:sz w:val="18"/>
        <w:szCs w:val="18"/>
        <w:rFonts w:cs="StarSymbol"/>
        <w:color w:val="000000"/>
      </w:rPr>
    </w:lvl>
    <w:lvl w:ilvl="8">
      <w:start w:val="1"/>
      <w:numFmt w:val="bullet"/>
      <w:lvlText w:val="▪"/>
      <w:lvlJc w:val="left"/>
      <w:pPr>
        <w:ind w:left="3600" w:hanging="360"/>
      </w:pPr>
      <w:rPr>
        <w:rFonts w:ascii="Eurasia" w:hAnsi="Eurasia" w:cs="Eurasia" w:hint="default"/>
        <w:sz w:val="18"/>
        <w:szCs w:val="18"/>
        <w:rFonts w:cs="StarSymbol"/>
        <w:color w:val="000000"/>
      </w:rPr>
    </w:lvl>
  </w:abstractNum>
  <w:abstractNum w:abstractNumId="3">
    <w:lvl w:ilvl="0">
      <w:start w:val="1"/>
      <w:numFmt w:val="lowerLetter"/>
      <w:lvlText w:val="%1)"/>
      <w:lvlJc w:val="left"/>
      <w:pPr>
        <w:ind w:left="11" w:hanging="360"/>
      </w:pPr>
    </w:lvl>
    <w:lvl w:ilvl="1">
      <w:start w:val="1"/>
      <w:numFmt w:val="lowerLetter"/>
      <w:lvlText w:val="%2."/>
      <w:lvlJc w:val="left"/>
      <w:pPr>
        <w:ind w:left="731" w:hanging="360"/>
      </w:pPr>
    </w:lvl>
    <w:lvl w:ilvl="2">
      <w:start w:val="1"/>
      <w:numFmt w:val="lowerRoman"/>
      <w:lvlText w:val="%3."/>
      <w:lvlJc w:val="right"/>
      <w:pPr>
        <w:ind w:left="1451" w:hanging="180"/>
      </w:pPr>
    </w:lvl>
    <w:lvl w:ilvl="3">
      <w:start w:val="1"/>
      <w:numFmt w:val="decimal"/>
      <w:lvlText w:val="%4."/>
      <w:lvlJc w:val="left"/>
      <w:pPr>
        <w:ind w:left="2171" w:hanging="360"/>
      </w:pPr>
    </w:lvl>
    <w:lvl w:ilvl="4">
      <w:start w:val="1"/>
      <w:numFmt w:val="lowerLetter"/>
      <w:lvlText w:val="%5."/>
      <w:lvlJc w:val="left"/>
      <w:pPr>
        <w:ind w:left="2891" w:hanging="360"/>
      </w:pPr>
    </w:lvl>
    <w:lvl w:ilvl="5">
      <w:start w:val="1"/>
      <w:numFmt w:val="lowerRoman"/>
      <w:lvlText w:val="%6."/>
      <w:lvlJc w:val="right"/>
      <w:pPr>
        <w:ind w:left="3611" w:hanging="180"/>
      </w:pPr>
    </w:lvl>
    <w:lvl w:ilvl="6">
      <w:start w:val="1"/>
      <w:numFmt w:val="decimal"/>
      <w:lvlText w:val="%7."/>
      <w:lvlJc w:val="left"/>
      <w:pPr>
        <w:ind w:left="4331" w:hanging="360"/>
      </w:pPr>
    </w:lvl>
    <w:lvl w:ilvl="7">
      <w:start w:val="1"/>
      <w:numFmt w:val="lowerLetter"/>
      <w:lvlText w:val="%8."/>
      <w:lvlJc w:val="left"/>
      <w:pPr>
        <w:ind w:left="5051" w:hanging="360"/>
      </w:pPr>
    </w:lvl>
    <w:lvl w:ilvl="8">
      <w:start w:val="1"/>
      <w:numFmt w:val="lowerRoman"/>
      <w:lvlText w:val="%9."/>
      <w:lvlJc w:val="right"/>
      <w:pPr>
        <w:ind w:left="5771" w:hanging="18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es-E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true"/>
      <w:bidi w:val="0"/>
      <w:spacing w:lineRule="auto" w:line="360" w:before="0" w:after="0"/>
      <w:jc w:val="both"/>
    </w:pPr>
    <w:rPr>
      <w:rFonts w:ascii="Liberation Serif" w:hAnsi="Liberation Serif" w:eastAsia="NSimSun" w:cs="Arial"/>
      <w:color w:val="auto"/>
      <w:kern w:val="2"/>
      <w:sz w:val="24"/>
      <w:szCs w:val="24"/>
      <w:lang w:val="es-ES" w:eastAsia="zh-CN" w:bidi="hi-IN"/>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783eed"/>
    <w:rPr>
      <w:rFonts w:eastAsia="Tahoma" w:cs="Tahoma"/>
      <w:kern w:val="2"/>
      <w:szCs w:val="24"/>
      <w:lang w:val="gl-ES" w:eastAsia="es-ES"/>
    </w:rPr>
  </w:style>
  <w:style w:type="character" w:styleId="PiedepginaCar" w:customStyle="1">
    <w:name w:val="Pie de página Car"/>
    <w:basedOn w:val="DefaultParagraphFont"/>
    <w:link w:val="Piedepgina"/>
    <w:uiPriority w:val="99"/>
    <w:qFormat/>
    <w:rsid w:val="00783eed"/>
    <w:rPr>
      <w:rFonts w:eastAsia="Tahoma" w:cs="Tahoma"/>
      <w:kern w:val="2"/>
      <w:szCs w:val="24"/>
      <w:lang w:val="gl-ES" w:eastAsia="es-ES"/>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ceraypie">
    <w:name w:val="Cabecera y pie"/>
    <w:basedOn w:val="Normal"/>
    <w:qFormat/>
    <w:pPr/>
    <w:rPr/>
  </w:style>
  <w:style w:type="paragraph" w:styleId="Cabecera">
    <w:name w:val="Header"/>
    <w:basedOn w:val="Normal"/>
    <w:link w:val="EncabezadoCar"/>
    <w:uiPriority w:val="99"/>
    <w:unhideWhenUsed/>
    <w:rsid w:val="00783eed"/>
    <w:pPr>
      <w:widowControl w:val="false"/>
      <w:tabs>
        <w:tab w:val="clear" w:pos="709"/>
        <w:tab w:val="center" w:pos="4252" w:leader="none"/>
        <w:tab w:val="right" w:pos="8504" w:leader="none"/>
      </w:tabs>
      <w:suppressAutoHyphens w:val="true"/>
      <w:spacing w:lineRule="auto" w:line="240"/>
      <w:jc w:val="left"/>
      <w:textAlignment w:val="baseline"/>
    </w:pPr>
    <w:rPr>
      <w:rFonts w:eastAsia="Tahoma" w:cs="Tahoma"/>
      <w:kern w:val="2"/>
      <w:szCs w:val="24"/>
      <w:lang w:val="gl-ES" w:eastAsia="es-ES"/>
    </w:rPr>
  </w:style>
  <w:style w:type="paragraph" w:styleId="Piedepgina">
    <w:name w:val="Footer"/>
    <w:basedOn w:val="Normal"/>
    <w:link w:val="PiedepginaCar"/>
    <w:uiPriority w:val="99"/>
    <w:unhideWhenUsed/>
    <w:rsid w:val="00783eed"/>
    <w:pPr>
      <w:widowControl w:val="false"/>
      <w:tabs>
        <w:tab w:val="clear" w:pos="709"/>
        <w:tab w:val="center" w:pos="4252" w:leader="none"/>
        <w:tab w:val="right" w:pos="8504" w:leader="none"/>
      </w:tabs>
      <w:suppressAutoHyphens w:val="true"/>
      <w:spacing w:lineRule="auto" w:line="240"/>
      <w:jc w:val="left"/>
      <w:textAlignment w:val="baseline"/>
    </w:pPr>
    <w:rPr>
      <w:rFonts w:eastAsia="Tahoma" w:cs="Tahoma"/>
      <w:kern w:val="2"/>
      <w:szCs w:val="24"/>
      <w:lang w:val="gl-ES" w:eastAsia="es-ES"/>
    </w:rPr>
  </w:style>
  <w:style w:type="paragraph" w:styleId="Textbody" w:customStyle="1">
    <w:name w:val="Text body"/>
    <w:basedOn w:val="Normal"/>
    <w:qFormat/>
    <w:rsid w:val="006d7108"/>
    <w:pPr>
      <w:widowControl w:val="false"/>
      <w:suppressAutoHyphens w:val="true"/>
      <w:spacing w:lineRule="auto" w:line="240" w:before="113" w:after="0"/>
      <w:textAlignment w:val="baseline"/>
    </w:pPr>
    <w:rPr>
      <w:rFonts w:ascii="Open Sans" w:hAnsi="Open Sans" w:eastAsia="DejaVu Sans" w:cs="Tahoma"/>
      <w:kern w:val="2"/>
      <w:sz w:val="20"/>
      <w:szCs w:val="24"/>
      <w:lang w:val="gl-ES" w:eastAsia="es-ES" w:bidi="gl-ES"/>
    </w:rPr>
  </w:style>
  <w:style w:type="paragraph" w:styleId="Contenidodelmarco">
    <w:name w:val="Contenido del marco"/>
    <w:basedOn w:val="Normal"/>
    <w:qFormat/>
    <w:pPr/>
    <w:rPr/>
  </w:style>
  <w:style w:type="paragraph" w:styleId="Standard">
    <w:name w:val="Standard"/>
    <w:qFormat/>
    <w:pPr>
      <w:widowControl/>
      <w:suppressAutoHyphens w:val="true"/>
      <w:overflowPunct w:val="true"/>
      <w:bidi w:val="0"/>
      <w:spacing w:lineRule="auto" w:line="240" w:before="0" w:after="0"/>
      <w:jc w:val="left"/>
      <w:textAlignment w:val="baseline"/>
    </w:pPr>
    <w:rPr>
      <w:rFonts w:ascii="Liberation Serif" w:hAnsi="Liberation Serif" w:eastAsia="Tahoma" w:cs="Tahoma"/>
      <w:color w:val="auto"/>
      <w:kern w:val="2"/>
      <w:sz w:val="24"/>
      <w:szCs w:val="24"/>
      <w:lang w:val="gl-ES" w:eastAsia="zh-CN" w:bidi="es-E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DA8B6-876F-4DB7-A507-D17160552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Application>LibreOffice/6.3.6.2$Windows_X86_64 LibreOffice_project/2196df99b074d8a661f4036fca8fa0cbfa33a497</Application>
  <Pages>5</Pages>
  <Words>1454</Words>
  <Characters>7263</Characters>
  <CharactersWithSpaces>8539</CharactersWithSpaces>
  <Paragraphs>187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2024-02-21T17:28:00Z</dcterms:created>
  <dc:creator>Nélida</dc:creator>
  <dc:description/>
  <dc:language>es-ES</dc:language>
  <cp:lastModifiedBy/>
  <dcterms:modified xsi:type="dcterms:W3CDTF">2024-05-20T07:36:12Z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