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83"/>
        <w:jc w:val="center"/>
        <w:rPr>
          <w:sz w:val="20"/>
        </w:rPr>
      </w:pPr>
      <w:r>
        <w:rPr>
          <w:rFonts w:eastAsia="Open Sans" w:cs="Open Sans" w:ascii="Open Sans" w:hAnsi="Open Sans"/>
          <w:smallCaps/>
          <w:color w:val="000080"/>
          <w:sz w:val="40"/>
          <w:lang w:eastAsia="zh-CN" w:bidi="es-ES"/>
        </w:rPr>
        <w:t>PROYECTO Copa</w:t>
      </w:r>
      <w:r>
        <w:rPr>
          <w:rFonts w:eastAsia="Copperplate Gothic Light" w:cs="Copperplate Gothic Light" w:ascii="Open Sans" w:hAnsi="Open Sans"/>
          <w:smallCaps/>
          <w:color w:val="000080"/>
          <w:sz w:val="40"/>
          <w:lang w:eastAsia="zh-CN" w:bidi="es-ES"/>
        </w:rPr>
        <w:t xml:space="preserve"> </w:t>
      </w:r>
      <w:r>
        <w:rPr>
          <w:rFonts w:eastAsia="Open Sans" w:cs="Open Sans" w:ascii="Open Sans" w:hAnsi="Open Sans"/>
          <w:smallCaps/>
          <w:color w:val="000080"/>
          <w:sz w:val="40"/>
          <w:lang w:eastAsia="zh-CN" w:bidi="es-ES"/>
        </w:rPr>
        <w:t>Gallega</w:t>
      </w:r>
      <w:r>
        <w:rPr>
          <w:rFonts w:eastAsia="Copperplate Gothic Light" w:cs="Copperplate Gothic Light" w:ascii="Open Sans" w:hAnsi="Open Sans"/>
          <w:smallCaps/>
          <w:color w:val="000080"/>
          <w:sz w:val="40"/>
          <w:lang w:eastAsia="zh-CN" w:bidi="es-ES"/>
        </w:rPr>
        <w:t xml:space="preserve"> </w:t>
      </w:r>
      <w:r>
        <w:rPr>
          <w:rFonts w:eastAsia="Open Sans" w:cs="Open Sans" w:ascii="Open Sans" w:hAnsi="Open Sans"/>
          <w:smallCaps/>
          <w:color w:val="000080"/>
          <w:sz w:val="40"/>
          <w:lang w:eastAsia="zh-CN" w:bidi="es-ES"/>
        </w:rPr>
        <w:t>de</w:t>
      </w:r>
      <w:r>
        <w:rPr>
          <w:rFonts w:eastAsia="Copperplate Gothic Light" w:cs="Copperplate Gothic Light" w:ascii="Open Sans" w:hAnsi="Open Sans"/>
          <w:smallCaps/>
          <w:color w:val="000080"/>
          <w:sz w:val="40"/>
          <w:lang w:eastAsia="zh-CN" w:bidi="es-ES"/>
        </w:rPr>
        <w:t xml:space="preserve"> </w:t>
      </w:r>
      <w:r>
        <w:rPr>
          <w:rFonts w:eastAsia="Open Sans" w:cs="Open Sans" w:ascii="Open Sans" w:hAnsi="Open Sans"/>
          <w:smallCaps/>
          <w:color w:val="000080"/>
          <w:sz w:val="40"/>
          <w:lang w:eastAsia="zh-CN" w:bidi="es-ES"/>
        </w:rPr>
        <w:t>Natación</w:t>
      </w:r>
      <w:r>
        <w:rPr>
          <w:rFonts w:eastAsia="Copperplate Gothic Light" w:cs="Copperplate Gothic Light" w:ascii="Open Sans" w:hAnsi="Open Sans"/>
          <w:smallCaps/>
          <w:color w:val="000080"/>
          <w:sz w:val="40"/>
          <w:lang w:eastAsia="zh-CN" w:bidi="es-ES"/>
        </w:rPr>
        <w:t xml:space="preserve"> </w:t>
      </w:r>
      <w:r>
        <w:rPr>
          <w:rFonts w:eastAsia="Open Sans" w:cs="Open Sans" w:ascii="Open Sans" w:hAnsi="Open Sans"/>
          <w:smallCaps/>
          <w:color w:val="000080"/>
          <w:sz w:val="40"/>
          <w:lang w:eastAsia="zh-CN" w:bidi="es-ES"/>
        </w:rPr>
        <w:t>Benjamín</w:t>
      </w:r>
    </w:p>
    <w:p>
      <w:pPr>
        <w:pStyle w:val="Normal"/>
        <w:spacing w:before="113" w:after="160"/>
        <w:jc w:val="center"/>
        <w:rPr/>
      </w:pPr>
      <w:r>
        <w:rPr>
          <w:rFonts w:eastAsia="DejaVu Sans" w:ascii="Open Sans" w:hAnsi="Open Sans"/>
          <w:sz w:val="20"/>
          <w:highlight w:val="yellow"/>
          <w:lang w:eastAsia="zh-CN" w:bidi="gl-ES"/>
        </w:rPr>
        <w:t>Temporada</w:t>
      </w:r>
      <w:r>
        <w:rPr>
          <w:rFonts w:eastAsia="Eurasia, Calibri" w:cs="Eurasia, Calibri" w:ascii="Open Sans" w:hAnsi="Open Sans"/>
          <w:sz w:val="20"/>
          <w:highlight w:val="yellow"/>
          <w:lang w:eastAsia="zh-CN" w:bidi="gl-ES"/>
        </w:rPr>
        <w:t xml:space="preserve"> 2024/25</w:t>
      </w:r>
      <w:r>
        <w:rPr>
          <w:rFonts w:eastAsia="Eurasia, Calibri" w:cs="Eurasia, Calibri" w:ascii="Open Sans" w:hAnsi="Open Sans"/>
          <w:sz w:val="20"/>
          <w:lang w:eastAsia="zh-CN" w:bidi="gl-ES"/>
        </w:rPr>
        <w:t xml:space="preserve">. </w:t>
      </w:r>
      <w:r>
        <w:rPr>
          <w:rFonts w:eastAsia="DejaVu Sans" w:ascii="Open Sans" w:hAnsi="Open Sans"/>
          <w:sz w:val="20"/>
          <w:lang w:eastAsia="zh-CN" w:bidi="gl-ES"/>
        </w:rPr>
        <w:t>Circular</w:t>
      </w:r>
      <w:r>
        <w:rPr>
          <w:rFonts w:eastAsia="Eurasia, Calibri" w:cs="Eurasia, Calibri" w:ascii="Open Sans" w:hAnsi="Open Sans"/>
          <w:sz w:val="20"/>
          <w:lang w:eastAsia="zh-CN" w:bidi="gl-ES"/>
        </w:rPr>
        <w:t xml:space="preserve"> </w:t>
      </w:r>
      <w:r>
        <w:rPr>
          <w:rFonts w:eastAsia="Sanford, Calibri" w:cs="Eurasia, Calibri" w:ascii="Open Sans" w:hAnsi="Open Sans"/>
          <w:sz w:val="20"/>
          <w:lang w:eastAsia="zh-CN" w:bidi="gl-ES"/>
        </w:rPr>
        <w:t>24-20</w:t>
      </w:r>
    </w:p>
    <w:p>
      <w:pPr>
        <w:pStyle w:val="Normal"/>
        <w:spacing w:before="113" w:after="160"/>
        <w:jc w:val="center"/>
        <w:rPr>
          <w:rFonts w:ascii="Open Sans" w:hAnsi="Open Sans" w:eastAsia="DejaVu Sans"/>
          <w:color w:val="FF0000"/>
          <w:sz w:val="20"/>
          <w:lang w:eastAsia="zh-CN" w:bidi="gl-ES"/>
        </w:rPr>
      </w:pPr>
      <w:r>
        <w:rPr>
          <w:rFonts w:eastAsia="DejaVu Sans" w:ascii="Open Sans" w:hAnsi="Open Sans"/>
          <w:color w:val="FF0000"/>
          <w:sz w:val="20"/>
          <w:lang w:eastAsia="zh-CN" w:bidi="gl-ES"/>
        </w:rPr>
      </w:r>
    </w:p>
    <w:p>
      <w:pPr>
        <w:pStyle w:val="Normal"/>
        <w:numPr>
          <w:ilvl w:val="0"/>
          <w:numId w:val="0"/>
        </w:numPr>
        <w:spacing w:lineRule="atLeast" w:line="200" w:before="113" w:after="160"/>
        <w:outlineLvl w:val="0"/>
        <w:rPr>
          <w:rFonts w:ascii="Open Sans" w:hAnsi="Open Sans" w:eastAsia="Sanford, Calibri" w:cs="Sanford, Calibri"/>
          <w:bCs/>
          <w:color w:val="002060"/>
          <w:spacing w:val="10"/>
          <w:sz w:val="36"/>
          <w:szCs w:val="28"/>
          <w:lang w:eastAsia="zh-CN" w:bidi="gl-ES"/>
        </w:rPr>
      </w:pPr>
      <w:r>
        <w:rPr>
          <w:rFonts w:eastAsia="Sanford, Calibri" w:cs="Sanford, Calibri" w:ascii="Open Sans" w:hAnsi="Open Sans"/>
          <w:bCs/>
          <w:color w:val="002060"/>
          <w:spacing w:val="10"/>
          <w:sz w:val="30"/>
          <w:szCs w:val="28"/>
          <w:lang w:eastAsia="zh-CN" w:bidi="gl-ES"/>
        </w:rPr>
        <w:t>1.- Organización, fecha y sede</w:t>
      </w:r>
    </w:p>
    <w:p>
      <w:pPr>
        <w:pStyle w:val="Normal"/>
        <w:spacing w:lineRule="auto" w:line="276" w:before="113" w:after="160"/>
        <w:jc w:val="both"/>
        <w:rPr>
          <w:rFonts w:ascii="Open Sans" w:hAnsi="Open Sans"/>
          <w:sz w:val="20"/>
          <w:szCs w:val="20"/>
        </w:rPr>
      </w:pPr>
      <w:r>
        <w:rPr>
          <w:rFonts w:eastAsia="Eurasia, Calibri" w:cs="Eurasia, Calibri" w:ascii="Open Sans" w:hAnsi="Open Sans"/>
          <w:sz w:val="20"/>
          <w:szCs w:val="20"/>
          <w:lang w:eastAsia="zh-CN" w:bidi="gl-ES"/>
        </w:rPr>
        <w:t xml:space="preserve">1.1.- En la Copa Gallega </w:t>
      </w:r>
      <w:r>
        <w:rPr>
          <w:rFonts w:eastAsia="Eurasia, Calibri" w:cs="Eurasia, Calibri" w:ascii="Open Sans" w:hAnsi="Open Sans"/>
          <w:sz w:val="20"/>
          <w:szCs w:val="20"/>
          <w:lang w:val="es" w:eastAsia="zh-CN" w:bidi="gl-ES"/>
        </w:rPr>
        <w:t>Benjamín podrán</w:t>
      </w:r>
      <w:r>
        <w:rPr>
          <w:rFonts w:eastAsia="Eurasia, Calibri" w:cs="Eurasia, Calibri" w:ascii="Open Sans" w:hAnsi="Open Sans"/>
          <w:sz w:val="20"/>
          <w:szCs w:val="20"/>
          <w:lang w:eastAsia="zh-CN" w:bidi="gl-ES"/>
        </w:rPr>
        <w:t xml:space="preserve"> participar los clubes que participan en la Liga Gallega Benjamín. Solo podrán participar los 24 primeros clasificados de la clasificación total de la Liga Gallega. </w:t>
      </w:r>
    </w:p>
    <w:p>
      <w:pPr>
        <w:pStyle w:val="Normal"/>
        <w:spacing w:lineRule="auto" w:line="276" w:before="113" w:after="160"/>
        <w:jc w:val="both"/>
        <w:rPr>
          <w:rFonts w:ascii="Open Sans" w:hAnsi="Open Sans"/>
          <w:sz w:val="20"/>
          <w:szCs w:val="20"/>
        </w:rPr>
      </w:pPr>
      <w:r>
        <w:rPr>
          <w:rFonts w:eastAsia="Eurasia, Calibri" w:cs="Eurasia, Calibri" w:ascii="Open Sans" w:hAnsi="Open Sans"/>
          <w:sz w:val="20"/>
          <w:szCs w:val="20"/>
          <w:lang w:eastAsia="zh-CN" w:bidi="gl-ES"/>
        </w:rPr>
        <w:t>1.1-</w:t>
      </w:r>
      <w:r>
        <w:rPr>
          <w:rFonts w:ascii="Open Sans" w:hAnsi="Open Sans"/>
          <w:sz w:val="20"/>
          <w:szCs w:val="20"/>
        </w:rPr>
        <w:t>En la Copa Gallega Benjamín podrán participar los clubes clasificados de la Liga Gallega Benjamín, distribuidos en 2 grupos: un grupo con los 12 primeros clubes clasificados, otro con los 12 clubes que ocupen los puestos del 13 a 24.</w:t>
      </w:r>
    </w:p>
    <w:p>
      <w:pPr>
        <w:pStyle w:val="Normal"/>
        <w:spacing w:lineRule="auto" w:line="276" w:before="113" w:after="160"/>
        <w:jc w:val="both"/>
        <w:rPr>
          <w:rFonts w:ascii="Open Sans" w:hAnsi="Open Sans"/>
          <w:sz w:val="20"/>
          <w:szCs w:val="20"/>
        </w:rPr>
      </w:pPr>
      <w:r>
        <w:rPr>
          <w:rFonts w:eastAsia="Eurasia, Calibri" w:cs="Eurasia, Calibri" w:ascii="Open Sans" w:hAnsi="Open Sans"/>
          <w:sz w:val="20"/>
          <w:szCs w:val="20"/>
          <w:lang w:eastAsia="zh-CN" w:bidi="gl-ES"/>
        </w:rPr>
        <w:t>1.2.- Se celebrará en la fecha establecida en el calendario de natación para la presente temporada.</w:t>
      </w:r>
    </w:p>
    <w:p>
      <w:pPr>
        <w:pStyle w:val="Normal"/>
        <w:spacing w:lineRule="auto" w:line="276" w:before="113" w:after="160"/>
        <w:jc w:val="both"/>
        <w:rPr>
          <w:rFonts w:ascii="Open Sans" w:hAnsi="Open Sans"/>
          <w:sz w:val="20"/>
          <w:szCs w:val="20"/>
        </w:rPr>
      </w:pPr>
      <w:r>
        <w:rPr>
          <w:rFonts w:eastAsia="Eurasia, Calibri" w:cs="Eurasia, Calibri" w:ascii="Open Sans" w:hAnsi="Open Sans"/>
          <w:sz w:val="20"/>
          <w:szCs w:val="20"/>
          <w:lang w:eastAsia="zh-CN" w:bidi="gl-ES"/>
        </w:rPr>
        <w:t>1.3.-</w:t>
      </w:r>
      <w:r>
        <w:rPr>
          <w:rFonts w:ascii="Open Sans" w:hAnsi="Open Sans"/>
          <w:sz w:val="20"/>
          <w:szCs w:val="20"/>
        </w:rPr>
        <w:t xml:space="preserve"> Para la designación de las sedes, tendrán preferencia los equipos clasificados en primer lugar en la Liga Gallega Benjamín en cada grupo (1º a 12º, 13º a 24º), siempre que la instalación escogida cumpla un mínimo de condiciones.</w:t>
      </w:r>
    </w:p>
    <w:p>
      <w:pPr>
        <w:pStyle w:val="Normal"/>
        <w:spacing w:lineRule="auto" w:line="276" w:before="113" w:after="160"/>
        <w:jc w:val="both"/>
        <w:rPr>
          <w:rFonts w:ascii="Open Sans" w:hAnsi="Open Sans"/>
          <w:sz w:val="20"/>
          <w:szCs w:val="20"/>
        </w:rPr>
      </w:pPr>
      <w:r>
        <w:rPr>
          <w:rFonts w:eastAsia="Eurasia, Calibri" w:cs="Eurasia, Calibri" w:ascii="Open Sans" w:hAnsi="Open Sans"/>
          <w:sz w:val="20"/>
          <w:szCs w:val="20"/>
          <w:lang w:eastAsia="zh-CN" w:bidi="gl-ES"/>
        </w:rPr>
        <w:t>1.4.- Las pruebas se realizarán en dos sesiones. Sábado mañana y tarde. Las sesiones matinales comenzarán a las 10:00* y las vespertinas a las 17:00.*</w:t>
      </w:r>
    </w:p>
    <w:p>
      <w:pPr>
        <w:pStyle w:val="Textbody"/>
        <w:rPr>
          <w:szCs w:val="20"/>
          <w:lang w:bidi="es-ES"/>
        </w:rPr>
      </w:pPr>
      <w:r>
        <w:rPr>
          <w:szCs w:val="20"/>
          <w:lang w:bidi="es-ES"/>
        </w:rPr>
        <w:t>1.5.- La piscina deberá estar la disposición de los equipos participantes una hora y media antes del inicio de cada sesión, y tendrán derecho a realizar el calentamiento hasta 10 minutos antes de que comience la sesión.</w:t>
      </w:r>
    </w:p>
    <w:p>
      <w:pPr>
        <w:pStyle w:val="Normal"/>
        <w:spacing w:lineRule="auto" w:line="276" w:before="113" w:after="160"/>
        <w:jc w:val="both"/>
        <w:rPr>
          <w:rFonts w:ascii="Open Sans" w:hAnsi="Open Sans"/>
          <w:sz w:val="20"/>
          <w:szCs w:val="20"/>
        </w:rPr>
      </w:pPr>
      <w:r>
        <w:rPr>
          <w:rFonts w:eastAsia="Eurasia, Calibri" w:cs="Eurasia, Calibri" w:ascii="Open Sans" w:hAnsi="Open Sans"/>
          <w:sz w:val="20"/>
          <w:szCs w:val="20"/>
          <w:lang w:eastAsia="zh-CN" w:bidi="gl-ES"/>
        </w:rPr>
        <w:t>1.6.- Se establecerán turnos de calentamiento rotativos, de 30 minutos de duración,  para garantizar un correcto calentamiento.</w:t>
      </w:r>
    </w:p>
    <w:p>
      <w:pPr>
        <w:pStyle w:val="Normal"/>
        <w:spacing w:lineRule="auto" w:line="276" w:before="113" w:after="160"/>
        <w:jc w:val="both"/>
        <w:rPr>
          <w:rFonts w:ascii="Open Sans" w:hAnsi="Open Sans"/>
          <w:sz w:val="20"/>
          <w:szCs w:val="20"/>
        </w:rPr>
      </w:pPr>
      <w:r>
        <w:rPr>
          <w:rFonts w:eastAsia="Eurasia, Calibri" w:cs="Eurasia, Calibri" w:ascii="Open Sans" w:hAnsi="Open Sans"/>
          <w:sz w:val="20"/>
          <w:szCs w:val="20"/>
          <w:lang w:eastAsia="zh-CN" w:bidi="gl-ES"/>
        </w:rPr>
        <w:t>Este horario puede sufrir cambios en función del número de participantes.*</w:t>
      </w:r>
    </w:p>
    <w:p>
      <w:pPr>
        <w:pStyle w:val="Normal"/>
        <w:numPr>
          <w:ilvl w:val="0"/>
          <w:numId w:val="0"/>
        </w:numPr>
        <w:spacing w:lineRule="atLeast" w:line="200" w:before="113" w:after="160"/>
        <w:outlineLvl w:val="0"/>
        <w:rPr>
          <w:rFonts w:ascii="Open Sans" w:hAnsi="Open Sans" w:eastAsia="Sanford, Calibri" w:cs="Sanford, Calibri"/>
          <w:bCs/>
          <w:color w:val="002060"/>
          <w:spacing w:val="10"/>
          <w:sz w:val="30"/>
          <w:szCs w:val="28"/>
          <w:lang w:eastAsia="zh-CN" w:bidi="gl-ES"/>
        </w:rPr>
      </w:pPr>
      <w:r>
        <w:rPr>
          <w:rFonts w:eastAsia="Sanford, Calibri" w:cs="Sanford, Calibri" w:ascii="Open Sans" w:hAnsi="Open Sans"/>
          <w:bCs/>
          <w:color w:val="002060"/>
          <w:spacing w:val="10"/>
          <w:sz w:val="30"/>
          <w:szCs w:val="28"/>
          <w:lang w:eastAsia="zh-CN" w:bidi="gl-ES"/>
        </w:rPr>
        <w:t>2.- Programa de pruebas</w:t>
      </w:r>
    </w:p>
    <w:p>
      <w:pPr>
        <w:pStyle w:val="Normal"/>
        <w:numPr>
          <w:ilvl w:val="0"/>
          <w:numId w:val="0"/>
        </w:numPr>
        <w:spacing w:lineRule="atLeast" w:line="200" w:before="113" w:after="160"/>
        <w:outlineLvl w:val="0"/>
        <w:rPr>
          <w:color w:val="002060"/>
          <w:sz w:val="18"/>
        </w:rPr>
      </w:pPr>
      <w:r>
        <w:rPr>
          <w:color w:val="002060"/>
          <w:sz w:val="18"/>
        </w:rPr>
      </w:r>
    </w:p>
    <w:tbl>
      <w:tblPr>
        <w:tblW w:w="5995" w:type="dxa"/>
        <w:jc w:val="center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23"/>
        <w:gridCol w:w="2793"/>
        <w:gridCol w:w="375"/>
        <w:gridCol w:w="2603"/>
      </w:tblGrid>
      <w:tr>
        <w:trPr>
          <w:trHeight w:val="315" w:hRule="atLeast"/>
        </w:trPr>
        <w:tc>
          <w:tcPr>
            <w:tcW w:w="3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</w:rPr>
              <w:t>Sábado Mañana : 1ª sesión</w:t>
            </w:r>
          </w:p>
        </w:tc>
        <w:tc>
          <w:tcPr>
            <w:tcW w:w="29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</w:rPr>
              <w:t>Sábado Tarde : 2ª Sesión</w:t>
            </w:r>
          </w:p>
        </w:tc>
      </w:tr>
      <w:tr>
        <w:trPr>
          <w:trHeight w:val="300" w:hRule="atLeast"/>
        </w:trPr>
        <w:tc>
          <w:tcPr>
            <w:tcW w:w="22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200 libre masc. 2014</w:t>
            </w:r>
          </w:p>
        </w:tc>
        <w:tc>
          <w:tcPr>
            <w:tcW w:w="3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60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200 estilos masc. 2014</w:t>
            </w:r>
          </w:p>
        </w:tc>
      </w:tr>
      <w:tr>
        <w:trPr>
          <w:trHeight w:val="300" w:hRule="atLeast"/>
        </w:trPr>
        <w:tc>
          <w:tcPr>
            <w:tcW w:w="22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 libre fem 2014</w:t>
            </w:r>
          </w:p>
        </w:tc>
        <w:tc>
          <w:tcPr>
            <w:tcW w:w="3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26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 estilos fem 2014</w:t>
            </w:r>
          </w:p>
        </w:tc>
      </w:tr>
      <w:tr>
        <w:trPr>
          <w:trHeight w:val="300" w:hRule="atLeast"/>
        </w:trPr>
        <w:tc>
          <w:tcPr>
            <w:tcW w:w="22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libre masc 2015</w:t>
            </w:r>
          </w:p>
        </w:tc>
        <w:tc>
          <w:tcPr>
            <w:tcW w:w="3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26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espalda masc 2015</w:t>
            </w:r>
          </w:p>
        </w:tc>
      </w:tr>
      <w:tr>
        <w:trPr>
          <w:trHeight w:val="300" w:hRule="atLeast"/>
        </w:trPr>
        <w:tc>
          <w:tcPr>
            <w:tcW w:w="22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50 libre fem. 2015</w:t>
            </w:r>
          </w:p>
        </w:tc>
        <w:tc>
          <w:tcPr>
            <w:tcW w:w="3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26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100 espalda fem. 2015</w:t>
            </w:r>
          </w:p>
        </w:tc>
      </w:tr>
      <w:tr>
        <w:trPr>
          <w:trHeight w:val="300" w:hRule="atLeast"/>
        </w:trPr>
        <w:tc>
          <w:tcPr>
            <w:tcW w:w="22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espalda masc 2014</w:t>
            </w:r>
          </w:p>
        </w:tc>
        <w:tc>
          <w:tcPr>
            <w:tcW w:w="3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26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braza masc 2014</w:t>
            </w:r>
          </w:p>
        </w:tc>
      </w:tr>
      <w:tr>
        <w:trPr>
          <w:trHeight w:val="300" w:hRule="atLeast"/>
        </w:trPr>
        <w:tc>
          <w:tcPr>
            <w:tcW w:w="22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espalda fem 2014</w:t>
            </w:r>
          </w:p>
        </w:tc>
        <w:tc>
          <w:tcPr>
            <w:tcW w:w="3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6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braza fem 2014</w:t>
            </w:r>
          </w:p>
        </w:tc>
      </w:tr>
      <w:tr>
        <w:trPr>
          <w:trHeight w:val="300" w:hRule="atLeast"/>
        </w:trPr>
        <w:tc>
          <w:tcPr>
            <w:tcW w:w="22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estilos masc 2015</w:t>
            </w:r>
          </w:p>
        </w:tc>
        <w:tc>
          <w:tcPr>
            <w:tcW w:w="3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26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libre masc 2015</w:t>
            </w:r>
          </w:p>
        </w:tc>
      </w:tr>
      <w:tr>
        <w:trPr>
          <w:trHeight w:val="300" w:hRule="atLeast"/>
        </w:trPr>
        <w:tc>
          <w:tcPr>
            <w:tcW w:w="22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2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estilos fem 2015</w:t>
            </w:r>
          </w:p>
        </w:tc>
        <w:tc>
          <w:tcPr>
            <w:tcW w:w="3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26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libre fem 2015</w:t>
            </w:r>
          </w:p>
        </w:tc>
      </w:tr>
      <w:tr>
        <w:trPr>
          <w:trHeight w:val="315" w:hRule="atLeast"/>
        </w:trPr>
        <w:tc>
          <w:tcPr>
            <w:tcW w:w="223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279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4 x 50 estilos mixto</w:t>
            </w:r>
          </w:p>
        </w:tc>
        <w:tc>
          <w:tcPr>
            <w:tcW w:w="375" w:type="dxa"/>
            <w:tcBorders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2603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</w:rPr>
              <w:t>4 x 50 libre mixto</w:t>
            </w:r>
          </w:p>
        </w:tc>
      </w:tr>
    </w:tbl>
    <w:p>
      <w:pPr>
        <w:pStyle w:val="Normal"/>
        <w:numPr>
          <w:ilvl w:val="0"/>
          <w:numId w:val="0"/>
        </w:numPr>
        <w:spacing w:lineRule="atLeast" w:line="200" w:before="113" w:after="160"/>
        <w:outlineLvl w:val="0"/>
        <w:rPr>
          <w:rFonts w:ascii="Open Sans" w:hAnsi="Open Sans" w:eastAsia="Sanford, Calibri" w:cs="Sanford, Calibri"/>
          <w:bCs/>
          <w:color w:val="002060"/>
          <w:spacing w:val="10"/>
          <w:sz w:val="36"/>
          <w:szCs w:val="28"/>
          <w:lang w:eastAsia="zh-CN" w:bidi="gl-ES"/>
        </w:rPr>
      </w:pPr>
      <w:r>
        <w:rPr>
          <w:rFonts w:eastAsia="Sanford, Calibri" w:cs="Sanford, Calibri" w:ascii="Open Sans" w:hAnsi="Open Sans"/>
          <w:bCs/>
          <w:color w:val="002060"/>
          <w:spacing w:val="10"/>
          <w:sz w:val="36"/>
          <w:szCs w:val="28"/>
          <w:lang w:eastAsia="zh-CN" w:bidi="gl-ES"/>
        </w:rPr>
      </w:r>
    </w:p>
    <w:p>
      <w:pPr>
        <w:pStyle w:val="Normal"/>
        <w:numPr>
          <w:ilvl w:val="0"/>
          <w:numId w:val="0"/>
        </w:numPr>
        <w:spacing w:lineRule="atLeast" w:line="200" w:before="113" w:after="160"/>
        <w:outlineLvl w:val="0"/>
        <w:rPr>
          <w:rFonts w:ascii="Open Sans" w:hAnsi="Open Sans" w:eastAsia="Sanford, Calibri" w:cs="Sanford, Calibri"/>
          <w:bCs/>
          <w:color w:val="002060"/>
          <w:spacing w:val="10"/>
          <w:sz w:val="30"/>
          <w:szCs w:val="28"/>
          <w:lang w:eastAsia="zh-CN" w:bidi="gl-ES"/>
        </w:rPr>
      </w:pPr>
      <w:r>
        <w:rPr>
          <w:rFonts w:eastAsia="Sanford, Calibri" w:cs="Sanford, Calibri" w:ascii="Open Sans" w:hAnsi="Open Sans"/>
          <w:bCs/>
          <w:color w:val="002060"/>
          <w:spacing w:val="10"/>
          <w:sz w:val="30"/>
          <w:szCs w:val="28"/>
          <w:lang w:eastAsia="zh-CN" w:bidi="gl-ES"/>
        </w:rPr>
        <w:t>3.- Participación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  <w:t>3.1.- La presente normativa está destinada a las categorías:</w:t>
      </w:r>
    </w:p>
    <w:p>
      <w:pPr>
        <w:pStyle w:val="ListParagraph"/>
        <w:numPr>
          <w:ilvl w:val="0"/>
          <w:numId w:val="1"/>
        </w:numPr>
        <w:spacing w:lineRule="auto" w:line="276" w:before="113" w:after="160"/>
        <w:contextualSpacing/>
        <w:jc w:val="both"/>
        <w:rPr>
          <w:highlight w:val="yellow"/>
        </w:rPr>
      </w:pPr>
      <w:r>
        <w:rPr>
          <w:rFonts w:eastAsia="Eurasia, Calibri" w:cs="Eurasia, Calibri" w:ascii="Open Sans" w:hAnsi="Open Sans"/>
          <w:sz w:val="20"/>
          <w:highlight w:val="yellow"/>
          <w:lang w:eastAsia="zh-CN" w:bidi="gl-ES"/>
        </w:rPr>
        <w:t>Masculina: nacidos en 2014 y 2015.</w:t>
      </w:r>
    </w:p>
    <w:p>
      <w:pPr>
        <w:pStyle w:val="ListParagraph"/>
        <w:numPr>
          <w:ilvl w:val="0"/>
          <w:numId w:val="1"/>
        </w:numPr>
        <w:spacing w:lineRule="auto" w:line="276" w:before="113" w:after="160"/>
        <w:contextualSpacing/>
        <w:jc w:val="both"/>
        <w:rPr/>
      </w:pPr>
      <w:r>
        <w:rPr>
          <w:rFonts w:eastAsia="Eurasia, Calibri" w:cs="Eurasia, Calibri" w:ascii="Open Sans" w:hAnsi="Open Sans"/>
          <w:sz w:val="20"/>
          <w:highlight w:val="yellow"/>
          <w:lang w:eastAsia="zh-CN" w:bidi="gl-ES"/>
        </w:rPr>
        <w:t>Femenina: nacidas en 2014 y 2015.</w:t>
      </w:r>
    </w:p>
    <w:p>
      <w:pPr>
        <w:pStyle w:val="Normal"/>
        <w:spacing w:lineRule="auto" w:line="276" w:before="113" w:after="160"/>
        <w:jc w:val="both"/>
        <w:rPr>
          <w:rFonts w:ascii="Open Sans" w:hAnsi="Open Sans" w:eastAsia="Eurasia, Calibri" w:cs="Eurasia, Calibri"/>
          <w:sz w:val="20"/>
          <w:lang w:eastAsia="zh-CN" w:bidi="gl-ES"/>
        </w:rPr>
      </w:pPr>
      <w:r>
        <w:rPr>
          <w:rFonts w:eastAsia="Eurasia, Calibri" w:cs="Eurasia, Calibri" w:ascii="Open Sans" w:hAnsi="Open Sans"/>
          <w:sz w:val="20"/>
          <w:lang w:eastAsia="zh-CN" w:bidi="gl-ES"/>
        </w:rPr>
      </w:r>
    </w:p>
    <w:p>
      <w:pPr>
        <w:pStyle w:val="Normal"/>
        <w:spacing w:lineRule="auto" w:line="276" w:before="113" w:after="160"/>
        <w:jc w:val="both"/>
        <w:rPr/>
      </w:pPr>
      <w:bookmarkStart w:id="0" w:name="_GoBack"/>
      <w:bookmarkEnd w:id="0"/>
      <w:r>
        <w:rPr>
          <w:rFonts w:eastAsia="Eurasia, Calibri" w:cs="Eurasia, Calibri" w:ascii="Open Sans" w:hAnsi="Open Sans"/>
          <w:sz w:val="20"/>
          <w:lang w:eastAsia="zh-CN" w:bidi="gl-ES"/>
        </w:rPr>
        <w:t>3.2.- La participación está abierta a todos los nadadores de las categorías señaladas y que pertenezcan a los clubes con derecho a participación.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  <w:t xml:space="preserve">3.3.- Cada nadador podrá participar como máximo en </w:t>
      </w:r>
      <w:r>
        <w:rPr>
          <w:rFonts w:eastAsia="Eurasia, Calibri" w:cs="Eurasia, Calibri" w:ascii="Open Sans" w:hAnsi="Open Sans"/>
          <w:sz w:val="20"/>
          <w:lang w:eastAsia="zh-CN" w:bidi="gl-ES"/>
        </w:rPr>
        <w:t>dos</w:t>
      </w: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  <w:t xml:space="preserve"> pruebas individuales y los relevos. 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Eurasia, Calibri" w:cs="Eurasia, Calibri" w:ascii="Open Sans" w:hAnsi="Open Sans"/>
          <w:sz w:val="20"/>
          <w:lang w:eastAsia="zh-CN" w:bidi="gl-ES"/>
        </w:rPr>
        <w:t>3.4.- Cada club podrá inscribir 2 nadadores por prueba.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Eurasia, Calibri" w:cs="Eurasia, Calibri" w:ascii="Open Sans" w:hAnsi="Open Sans"/>
          <w:sz w:val="20"/>
          <w:lang w:eastAsia="zh-CN" w:bidi="gl-ES"/>
        </w:rPr>
        <w:t>3.5.- Cada club podrá inscribir 2 equipos de relevos.</w:t>
      </w:r>
    </w:p>
    <w:p>
      <w:pPr>
        <w:pStyle w:val="Normal"/>
        <w:numPr>
          <w:ilvl w:val="0"/>
          <w:numId w:val="0"/>
        </w:numPr>
        <w:spacing w:lineRule="auto" w:line="276" w:before="113" w:after="160"/>
        <w:outlineLvl w:val="0"/>
        <w:rPr>
          <w:rFonts w:ascii="Open Sans" w:hAnsi="Open Sans" w:eastAsia="Sanford, Calibri" w:cs="Sanford, Calibri"/>
          <w:bCs/>
          <w:color w:val="002060"/>
          <w:spacing w:val="10"/>
          <w:sz w:val="36"/>
          <w:szCs w:val="28"/>
          <w:lang w:eastAsia="zh-CN" w:bidi="gl-ES"/>
        </w:rPr>
      </w:pPr>
      <w:r>
        <w:rPr>
          <w:rFonts w:eastAsia="Sanford, Calibri" w:cs="Sanford, Calibri" w:ascii="Open Sans" w:hAnsi="Open Sans"/>
          <w:bCs/>
          <w:color w:val="002060"/>
          <w:spacing w:val="10"/>
          <w:sz w:val="30"/>
          <w:szCs w:val="28"/>
          <w:lang w:eastAsia="zh-CN" w:bidi="gl-ES"/>
        </w:rPr>
        <w:t>4.- Inscripciones</w:t>
      </w:r>
    </w:p>
    <w:p>
      <w:pPr>
        <w:pStyle w:val="Normal"/>
        <w:spacing w:lineRule="auto" w:line="276"/>
        <w:jc w:val="both"/>
        <w:rPr/>
      </w:pPr>
      <w:r>
        <w:rPr>
          <w:rFonts w:eastAsia="Eurasia," w:cs="Eurasia," w:ascii="Open Sans" w:hAnsi="Open Sans"/>
          <w:color w:val="000000"/>
          <w:sz w:val="20"/>
          <w:lang w:eastAsia="zh-CN" w:bidi="es-ES"/>
        </w:rPr>
        <w:t>1.-Se realizarán a través de LEVERADE y el acta de inscripción que el propio programa genera, será remitida a la Federación por correo electrónico (inscricions@fegan.org).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  <w:t>4.2.- Las inscripciones para el campeonato deberán hallarse en poder de la FEGAN 7 días antes del comienzo de la competición, siendo responsabilidad del club que realiza la inscripción asegurarse de que fue recibida.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  <w:t>4.3.- Deberán inscribirse también los nadadores que participen solo en relevos y para substituciones, remitiendo el impreso correspondiente junto con la citada acta de preinscripción.</w:t>
      </w:r>
    </w:p>
    <w:p>
      <w:pPr>
        <w:pStyle w:val="Normal"/>
        <w:spacing w:lineRule="auto" w:line="276" w:before="113" w:after="160"/>
        <w:jc w:val="both"/>
        <w:rPr>
          <w:rFonts w:ascii="Open Sans" w:hAnsi="Open Sans" w:eastAsia="Eurasia, Calibri" w:cs="Eurasia, Calibri"/>
          <w:sz w:val="20"/>
          <w:lang w:eastAsia="zh-CN" w:bidi="gl-ES"/>
        </w:rPr>
      </w:pPr>
      <w:r>
        <w:rPr>
          <w:rFonts w:eastAsia="Eurasia, Calibri" w:cs="Eurasia, Calibri" w:ascii="Open Sans" w:hAnsi="Open Sans"/>
          <w:sz w:val="20"/>
          <w:lang w:eastAsia="zh-CN" w:bidi="gl-ES"/>
        </w:rPr>
        <w:t>4.4. Junto con la inscripción se incluirán los nombres de los relevistas que participarán en las pruebas de relevos. El día de la competición se permitirá hacer cambios debidos a bajas.</w:t>
      </w:r>
    </w:p>
    <w:p>
      <w:pPr>
        <w:pStyle w:val="Normal"/>
        <w:spacing w:lineRule="auto" w:line="276" w:before="113" w:after="160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spacing w:lineRule="auto" w:line="276" w:before="113" w:after="160"/>
        <w:outlineLvl w:val="0"/>
        <w:rPr>
          <w:rFonts w:ascii="Open Sans" w:hAnsi="Open Sans" w:eastAsia="Sanford, Calibri" w:cs="Sanford, Calibri"/>
          <w:bCs/>
          <w:color w:val="002060"/>
          <w:spacing w:val="10"/>
          <w:sz w:val="30"/>
          <w:szCs w:val="30"/>
          <w:lang w:eastAsia="zh-CN" w:bidi="gl-ES"/>
        </w:rPr>
      </w:pPr>
      <w:r>
        <w:rPr>
          <w:rFonts w:eastAsia="Sanford, Calibri" w:cs="Sanford, Calibri" w:ascii="Open Sans" w:hAnsi="Open Sans"/>
          <w:bCs/>
          <w:color w:val="002060"/>
          <w:spacing w:val="10"/>
          <w:sz w:val="30"/>
          <w:szCs w:val="30"/>
          <w:lang w:eastAsia="zh-CN" w:bidi="gl-ES"/>
        </w:rPr>
        <w:t>5.- Fórmula de competición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  <w:t>5.1.- Se disputarán todas las pruebas contra reloj.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  <w:t>5.2.- Puntuarán los 16 primeros clasificados de cada prueba individual y en cada prueba de relevo.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  <w:t xml:space="preserve">5.3.- La puntuación en las pruebas individuales será: 19, 16, 14, 13, 12, 11, 10, 9, 8, 7, 6, 5, 4, 3, 2, 1. </w:t>
      </w:r>
    </w:p>
    <w:p>
      <w:pPr>
        <w:pStyle w:val="Normal"/>
        <w:spacing w:lineRule="auto" w:line="276" w:before="113" w:after="160"/>
        <w:jc w:val="both"/>
        <w:rPr>
          <w:rFonts w:ascii="Open Sans" w:hAnsi="Open Sans" w:eastAsia="Eurasia, Calibri" w:cs="Eurasia, Calibri"/>
          <w:color w:val="000000"/>
          <w:sz w:val="20"/>
          <w:lang w:eastAsia="zh-CN" w:bidi="gl-ES"/>
        </w:rPr>
      </w:pP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  <w:t>5.4.- La puntuación en las pruebas de relevos será: 38, 32, 28, 26, 24, 22, 20, 18, 16, 14, 12, 10, 8, 6, 4, 2.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  <w:t>5.5.- Se aceptarán cambios de nadadores hasta 45 minutos antes del inicio de la sesión, previa solicitud de baja de un nadador del mismo club inscrito en la prueba</w:t>
      </w:r>
      <w:r>
        <w:rPr>
          <w:rFonts w:eastAsia="Eurasia, Calibri" w:cs="Eurasia, Calibri" w:ascii="Open Sans" w:hAnsi="Open Sans"/>
          <w:color w:val="FF0000"/>
          <w:sz w:val="20"/>
          <w:lang w:eastAsia="zh-CN" w:bidi="gl-ES"/>
        </w:rPr>
        <w:t>.</w:t>
      </w:r>
    </w:p>
    <w:p>
      <w:pPr>
        <w:pStyle w:val="Textbody"/>
        <w:rPr>
          <w:rFonts w:eastAsia="Eurasia, Calibri" w:cs="Eurasia, Calibri"/>
        </w:rPr>
      </w:pPr>
      <w:r>
        <w:rPr>
          <w:rFonts w:eastAsia="Eurasia, Calibri" w:cs="Eurasia, Calibri"/>
        </w:rPr>
        <w:t>5.6.- El nadador substituido no podrá participar en ninguna prueba individual o de relevos en dicha sesión.</w:t>
      </w:r>
    </w:p>
    <w:p>
      <w:pPr>
        <w:pStyle w:val="Normal"/>
        <w:spacing w:lineRule="auto" w:line="276" w:before="113" w:after="160"/>
        <w:jc w:val="both"/>
        <w:rPr>
          <w:rFonts w:ascii="Open Sans" w:hAnsi="Open Sans" w:eastAsia="Eurasia, Calibri" w:cs="Eurasia, Calibri"/>
          <w:color w:val="000000"/>
          <w:sz w:val="20"/>
          <w:lang w:eastAsia="zh-CN" w:bidi="gl-ES"/>
        </w:rPr>
      </w:pP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</w:r>
    </w:p>
    <w:p>
      <w:pPr>
        <w:pStyle w:val="Normal"/>
        <w:numPr>
          <w:ilvl w:val="0"/>
          <w:numId w:val="0"/>
        </w:numPr>
        <w:spacing w:lineRule="auto" w:line="276" w:before="113" w:after="160"/>
        <w:outlineLvl w:val="0"/>
        <w:rPr>
          <w:rFonts w:ascii="Open Sans" w:hAnsi="Open Sans"/>
          <w:sz w:val="30"/>
          <w:szCs w:val="30"/>
        </w:rPr>
      </w:pPr>
      <w:r>
        <w:rPr>
          <w:rFonts w:eastAsia="Sanford, Calibri" w:cs="Sanford, Calibri" w:ascii="Open Sans" w:hAnsi="Open Sans"/>
          <w:bCs/>
          <w:color w:val="002060"/>
          <w:spacing w:val="10"/>
          <w:sz w:val="30"/>
          <w:szCs w:val="30"/>
          <w:lang w:eastAsia="zh-CN" w:bidi="gl-ES"/>
        </w:rPr>
        <w:t>6.- Clasificación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  <w:t>6.1.- Se harán las siguientes clasificaciones: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  <w:t xml:space="preserve">a) Clasificación masculina. Total puntos conseguidos en pruebas individuales. 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Eurasia, Calibri" w:cs="Eurasia, Calibri" w:ascii="Open Sans" w:hAnsi="Open Sans"/>
          <w:color w:val="000000"/>
          <w:sz w:val="20"/>
          <w:lang w:eastAsia="zh-CN" w:bidi="gl-ES"/>
        </w:rPr>
        <w:t xml:space="preserve">b) Clasificación femenina. Total puntos conseguidos en pruebas individuales. </w:t>
      </w:r>
    </w:p>
    <w:p>
      <w:pPr>
        <w:pStyle w:val="Normal"/>
        <w:spacing w:lineRule="auto" w:line="276" w:before="113" w:after="160"/>
        <w:jc w:val="both"/>
        <w:rPr>
          <w:rFonts w:ascii="Open Sans" w:hAnsi="Open Sans" w:eastAsia="Eurasia, Calibri" w:cs="Eurasia, Calibri"/>
          <w:sz w:val="20"/>
          <w:lang w:eastAsia="zh-CN" w:bidi="gl-ES"/>
        </w:rPr>
      </w:pPr>
      <w:r>
        <w:rPr>
          <w:rFonts w:eastAsia="Eurasia, Calibri" w:cs="Eurasia, Calibri" w:ascii="Open Sans" w:hAnsi="Open Sans"/>
          <w:sz w:val="20"/>
          <w:lang w:eastAsia="zh-CN" w:bidi="gl-ES"/>
        </w:rPr>
        <w:t>c) Clasificación total. Total de puntos de la suma de la clasificación masculina, femenina, más los puntos de las pruebas mixtas de relevos que se repartirán a partes iguales entre ambas categorías.</w:t>
      </w:r>
    </w:p>
    <w:p>
      <w:pPr>
        <w:pStyle w:val="Normal"/>
        <w:spacing w:lineRule="auto" w:line="276" w:before="113" w:after="160"/>
        <w:jc w:val="both"/>
        <w:rPr/>
      </w:pPr>
      <w:r>
        <w:rPr/>
      </w:r>
    </w:p>
    <w:p>
      <w:pPr>
        <w:pStyle w:val="Normal"/>
        <w:numPr>
          <w:ilvl w:val="0"/>
          <w:numId w:val="0"/>
        </w:numPr>
        <w:spacing w:lineRule="auto" w:line="276" w:before="113" w:after="160"/>
        <w:outlineLvl w:val="0"/>
        <w:rPr>
          <w:rFonts w:ascii="Open Sans" w:hAnsi="Open Sans"/>
          <w:sz w:val="30"/>
          <w:szCs w:val="30"/>
        </w:rPr>
      </w:pPr>
      <w:r>
        <w:rPr>
          <w:rFonts w:eastAsia="Sanford, Calibri" w:cs="Sanford, Calibri" w:ascii="Open Sans" w:hAnsi="Open Sans"/>
          <w:bCs/>
          <w:color w:val="002060"/>
          <w:spacing w:val="10"/>
          <w:sz w:val="30"/>
          <w:szCs w:val="30"/>
          <w:lang w:eastAsia="zh-CN" w:bidi="gl-ES"/>
        </w:rPr>
        <w:t>7.- Títulos y premios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DejaVu Sans" w:ascii="Open Sans" w:hAnsi="Open Sans"/>
          <w:color w:val="000000"/>
          <w:sz w:val="20"/>
          <w:lang w:eastAsia="zh-CN" w:bidi="gl-ES"/>
        </w:rPr>
        <w:t>7.1.- Se entregará un trofeo al club que consiga la mayor puntuación, atendiendo al apartado c) del punto 6.1 del presente reglamento, siendo proclamado Campeón de la Copa Gallega Benjamín.</w:t>
      </w:r>
    </w:p>
    <w:p>
      <w:pPr>
        <w:pStyle w:val="Normal"/>
        <w:spacing w:lineRule="auto" w:line="276" w:before="113" w:after="160"/>
        <w:jc w:val="both"/>
        <w:rPr/>
      </w:pPr>
      <w:r>
        <w:rPr>
          <w:rFonts w:eastAsia="DejaVu Sans" w:ascii="Open Sans" w:hAnsi="Open Sans"/>
          <w:color w:val="000000"/>
          <w:sz w:val="20"/>
          <w:lang w:eastAsia="zh-CN" w:bidi="gl-ES"/>
        </w:rPr>
        <w:t>7.2.- Se entregarán medallas a todos los componentes de los tres primeros equipos clasificados.</w:t>
      </w:r>
    </w:p>
    <w:p>
      <w:pPr>
        <w:pStyle w:val="Normal"/>
        <w:spacing w:lineRule="auto" w:line="276" w:before="113" w:after="160"/>
        <w:jc w:val="both"/>
        <w:rPr>
          <w:rFonts w:ascii="Open Sans" w:hAnsi="Open Sans" w:eastAsia="DejaVu Sans"/>
          <w:color w:val="000000"/>
          <w:sz w:val="20"/>
          <w:lang w:eastAsia="zh-CN" w:bidi="gl-ES"/>
        </w:rPr>
      </w:pPr>
      <w:r>
        <w:rPr>
          <w:rFonts w:eastAsia="DejaVu Sans" w:ascii="Open Sans" w:hAnsi="Open Sans"/>
          <w:color w:val="000000"/>
          <w:sz w:val="20"/>
          <w:lang w:eastAsia="zh-CN" w:bidi="gl-ES"/>
        </w:rPr>
      </w:r>
    </w:p>
    <w:p>
      <w:pPr>
        <w:pStyle w:val="Normal"/>
        <w:jc w:val="center"/>
        <w:rPr/>
      </w:pPr>
      <w:r>
        <w:rPr>
          <w:rFonts w:cs="Open Sans" w:ascii="Open Sans" w:hAnsi="Open Sans"/>
          <w:sz w:val="20"/>
          <w:szCs w:val="20"/>
        </w:rPr>
        <w:t xml:space="preserve">A Coruña, 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850" w:right="850" w:header="255" w:top="1389" w:footer="454" w:bottom="1314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Open Sans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>
        <w:rFonts w:ascii="Open Sans" w:hAnsi="Open Sans" w:cs="Open Sans"/>
        <w:i/>
        <w:i/>
      </w:rPr>
    </w:pPr>
    <w:r>
      <w:rPr>
        <w:rFonts w:cs="Open Sans" w:ascii="Open Sans" w:hAnsi="Open Sans"/>
        <w:i/>
      </w:rPr>
    </w:r>
  </w:p>
  <w:p>
    <w:pPr>
      <w:pStyle w:val="Normal"/>
      <w:tabs>
        <w:tab w:val="clear" w:pos="708"/>
        <w:tab w:val="center" w:pos="4252" w:leader="none"/>
        <w:tab w:val="right" w:pos="8504" w:leader="none"/>
      </w:tabs>
      <w:rPr/>
    </w:pPr>
    <w:r>
      <w:rPr>
        <w:rFonts w:cs="Open Sans" w:ascii="Open Sans" w:hAnsi="Open Sans"/>
        <w:i/>
        <w:sz w:val="16"/>
        <w:szCs w:val="21"/>
      </w:rPr>
      <w:fldChar w:fldCharType="begin"/>
    </w:r>
    <w:r>
      <w:rPr>
        <w:sz w:val="16"/>
        <w:i/>
        <w:szCs w:val="21"/>
        <w:rFonts w:cs="Open Sans" w:ascii="Open Sans" w:hAnsi="Open Sans"/>
      </w:rPr>
      <w:instrText> PAGE </w:instrText>
    </w:r>
    <w:r>
      <w:rPr>
        <w:sz w:val="16"/>
        <w:i/>
        <w:szCs w:val="21"/>
        <w:rFonts w:cs="Open Sans" w:ascii="Open Sans" w:hAnsi="Open Sans"/>
      </w:rPr>
      <w:fldChar w:fldCharType="separate"/>
    </w:r>
    <w:r>
      <w:rPr>
        <w:sz w:val="16"/>
        <w:i/>
        <w:szCs w:val="21"/>
        <w:rFonts w:cs="Open Sans" w:ascii="Open Sans" w:hAnsi="Open Sans"/>
      </w:rPr>
      <w:t>3</w:t>
    </w:r>
    <w:r>
      <w:rPr>
        <w:sz w:val="16"/>
        <w:i/>
        <w:szCs w:val="21"/>
        <w:rFonts w:cs="Open Sans" w:ascii="Open Sans" w:hAnsi="Open Sans"/>
      </w:rPr>
      <w:fldChar w:fldCharType="end"/>
    </w:r>
    <w:r>
      <w:rPr>
        <w:rFonts w:eastAsia="Open Sans" w:cs="Open Sans" w:ascii="Open Sans" w:hAnsi="Open Sans"/>
        <w:sz w:val="16"/>
        <w:szCs w:val="21"/>
      </w:rPr>
      <w:t xml:space="preserve"> </w:t>
    </w:r>
    <w:r>
      <w:rPr>
        <w:rFonts w:cs="Open Sans" w:ascii="Open Sans" w:hAnsi="Open Sans"/>
        <w:sz w:val="16"/>
        <w:szCs w:val="21"/>
      </w:rPr>
      <w:t xml:space="preserve">/ </w:t>
    </w:r>
    <w:r>
      <w:rPr>
        <w:rFonts w:cs="Open Sans" w:ascii="Open Sans" w:hAnsi="Open Sans"/>
        <w:i/>
        <w:sz w:val="16"/>
        <w:szCs w:val="21"/>
      </w:rPr>
      <w:fldChar w:fldCharType="begin"/>
    </w:r>
    <w:r>
      <w:rPr>
        <w:sz w:val="16"/>
        <w:i/>
        <w:szCs w:val="21"/>
        <w:rFonts w:cs="Open Sans" w:ascii="Open Sans" w:hAnsi="Open Sans"/>
      </w:rPr>
      <w:instrText> NUMPAGES </w:instrText>
    </w:r>
    <w:r>
      <w:rPr>
        <w:sz w:val="16"/>
        <w:i/>
        <w:szCs w:val="21"/>
        <w:rFonts w:cs="Open Sans" w:ascii="Open Sans" w:hAnsi="Open Sans"/>
      </w:rPr>
      <w:fldChar w:fldCharType="separate"/>
    </w:r>
    <w:r>
      <w:rPr>
        <w:sz w:val="16"/>
        <w:i/>
        <w:szCs w:val="21"/>
        <w:rFonts w:cs="Open Sans" w:ascii="Open Sans" w:hAnsi="Open Sans"/>
      </w:rPr>
      <w:t>3</w:t>
    </w:r>
    <w:r>
      <w:rPr>
        <w:sz w:val="16"/>
        <w:i/>
        <w:szCs w:val="21"/>
        <w:rFonts w:cs="Open Sans" w:ascii="Open Sans" w:hAnsi="Open Sans"/>
      </w:rPr>
      <w:fldChar w:fldCharType="end"/>
    </w:r>
    <w:r>
      <mc:AlternateContent>
        <mc:Choice Requires="wps">
          <w:drawing>
            <wp:anchor behindDoc="1" distT="0" distB="0" distL="114300" distR="114300" simplePos="0" locked="0" layoutInCell="1" allowOverlap="1" relativeHeight="4">
              <wp:simplePos x="0" y="0"/>
              <wp:positionH relativeFrom="column">
                <wp:posOffset>1470025</wp:posOffset>
              </wp:positionH>
              <wp:positionV relativeFrom="paragraph">
                <wp:posOffset>45085</wp:posOffset>
              </wp:positionV>
              <wp:extent cx="2594610" cy="278130"/>
              <wp:effectExtent l="0" t="0" r="0" b="0"/>
              <wp:wrapNone/>
              <wp:docPr id="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4610" cy="27813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andard"/>
                            <w:jc w:val="right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Open Sans" w:ascii="Open Sans" w:hAnsi="Open Sans"/>
                              <w:sz w:val="16"/>
                              <w:szCs w:val="16"/>
                            </w:rPr>
                            <w:tab/>
                            <w:tab/>
                            <w:tab/>
                            <w:tab/>
                            <w:tab/>
                            <w:tab/>
                            <w:t>Avenida de Glasgow, 13  | 15008 - A Coruña  |  Tel. 981 174377</w:t>
                          </w:r>
                        </w:p>
                        <w:p>
                          <w:pPr>
                            <w:pStyle w:val="Standard"/>
                            <w:jc w:val="right"/>
                            <w:rPr>
                              <w:rFonts w:ascii="Open Sans" w:hAnsi="Open Sans" w:cs="Open Sans"/>
                              <w:b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Open Sans" w:ascii="Open Sans" w:hAnsi="Open Sans"/>
                              <w:b/>
                              <w:bCs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rotation:0;width:204.3pt;height:21.9pt;mso-wrap-distance-left:9pt;mso-wrap-distance-right:9pt;mso-wrap-distance-top:0pt;mso-wrap-distance-bottom:0pt;margin-top:3.55pt;mso-position-vertical-relative:text;margin-left:115.75pt;mso-position-horizontal-relative:text">
              <v:fill opacity="0f"/>
              <v:textbox inset="0in,0in,0in,0in">
                <w:txbxContent>
                  <w:p>
                    <w:pPr>
                      <w:pStyle w:val="Standard"/>
                      <w:jc w:val="right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cs="Open Sans" w:ascii="Open Sans" w:hAnsi="Open Sans"/>
                        <w:sz w:val="16"/>
                        <w:szCs w:val="16"/>
                      </w:rPr>
                      <w:tab/>
                      <w:tab/>
                      <w:tab/>
                      <w:tab/>
                      <w:tab/>
                      <w:tab/>
                      <w:t>Avenida de Glasgow, 13  | 15008 - A Coruña  |  Tel. 981 174377</w:t>
                    </w:r>
                  </w:p>
                  <w:p>
                    <w:pPr>
                      <w:pStyle w:val="Standard"/>
                      <w:jc w:val="right"/>
                      <w:rPr>
                        <w:rFonts w:ascii="Open Sans" w:hAnsi="Open Sans" w:cs="Open Sans"/>
                        <w:b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cs="Open Sans" w:ascii="Open Sans" w:hAnsi="Open Sans"/>
                        <w:b/>
                        <w:bCs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rect>
          </w:pict>
        </mc:Fallback>
      </mc:AlternateContent>
    </w:r>
  </w:p>
  <w:p>
    <w:pPr>
      <w:pStyle w:val="Piedepgina"/>
      <w:rPr>
        <w:rFonts w:ascii="Open Sans" w:hAnsi="Open Sans" w:cs="Open Sans"/>
        <w:i/>
        <w:i/>
      </w:rPr>
    </w:pPr>
    <w:r>
      <w:rPr/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uppressLineNumbers/>
      <w:tabs>
        <w:tab w:val="clear" w:pos="708"/>
        <w:tab w:val="center" w:pos="4819" w:leader="none"/>
        <w:tab w:val="right" w:pos="9638" w:leader="none"/>
      </w:tabs>
      <w:jc w:val="both"/>
      <w:rPr>
        <w:rFonts w:ascii="Open Sans" w:hAnsi="Open Sans" w:eastAsia="Open Sans" w:cs="Open Sans"/>
        <w:sz w:val="20"/>
        <w14:ligatures w14:val="none"/>
      </w:rPr>
    </w:pPr>
    <w:r>
      <w:rPr>
        <w:rFonts w:eastAsia="Open Sans" w:cs="Open Sans" w:ascii="Open Sans" w:hAnsi="Open Sans"/>
        <w:sz w:val="20"/>
        <w14:ligatures w14:val="none"/>
      </w:rPr>
      <w:drawing>
        <wp:anchor behindDoc="1" distT="0" distB="0" distL="114300" distR="114300" simplePos="0" locked="0" layoutInCell="1" allowOverlap="1" relativeHeight="7">
          <wp:simplePos x="0" y="0"/>
          <wp:positionH relativeFrom="column">
            <wp:posOffset>-473710</wp:posOffset>
          </wp:positionH>
          <wp:positionV relativeFrom="paragraph">
            <wp:posOffset>-76835</wp:posOffset>
          </wp:positionV>
          <wp:extent cx="1090295" cy="718820"/>
          <wp:effectExtent l="0" t="0" r="0" b="0"/>
          <wp:wrapTopAndBottom/>
          <wp:docPr id="1" name="Imax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x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0295" cy="718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13">
          <wp:simplePos x="0" y="0"/>
          <wp:positionH relativeFrom="column">
            <wp:posOffset>4870450</wp:posOffset>
          </wp:positionH>
          <wp:positionV relativeFrom="paragraph">
            <wp:posOffset>87630</wp:posOffset>
          </wp:positionV>
          <wp:extent cx="1971675" cy="403860"/>
          <wp:effectExtent l="0" t="0" r="0" b="0"/>
          <wp:wrapSquare wrapText="bothSides"/>
          <wp:docPr id="2" name="Imax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xe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40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behindDoc="1" distT="0" distB="0" distL="114300" distR="114300" simplePos="0" locked="0" layoutInCell="1" allowOverlap="1" relativeHeight="10">
              <wp:simplePos x="0" y="0"/>
              <wp:positionH relativeFrom="column">
                <wp:posOffset>586740</wp:posOffset>
              </wp:positionH>
              <wp:positionV relativeFrom="paragraph">
                <wp:posOffset>93345</wp:posOffset>
              </wp:positionV>
              <wp:extent cx="1427480" cy="588645"/>
              <wp:effectExtent l="0" t="0" r="0" b="0"/>
              <wp:wrapNone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7480" cy="58864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Contenidodelmarco"/>
                            <w:spacing w:lineRule="auto" w:line="192"/>
                            <w:rPr/>
                          </w:pPr>
                          <w:r>
                            <w:rPr>
                              <w:rFonts w:ascii="Open Sans" w:hAnsi="Open Sans"/>
                              <w:b/>
                              <w:bCs/>
                              <w:color w:val="000066"/>
                              <w:sz w:val="26"/>
                              <w:szCs w:val="26"/>
                            </w:rPr>
                            <w:t>Federación Galega</w:t>
                          </w:r>
                        </w:p>
                        <w:p>
                          <w:pPr>
                            <w:pStyle w:val="Contenidodelmarco"/>
                            <w:spacing w:lineRule="auto" w:line="192" w:before="0" w:after="160"/>
                            <w:rPr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6"/>
                              <w:szCs w:val="26"/>
                            </w:rPr>
                            <w:t xml:space="preserve">de </w:t>
                          </w:r>
                          <w:r>
                            <w:rPr>
                              <w:rFonts w:ascii="Open Sans" w:hAnsi="Open Sans"/>
                              <w:b/>
                              <w:bCs/>
                              <w:color w:val="000066"/>
                              <w:sz w:val="26"/>
                              <w:szCs w:val="26"/>
                            </w:rPr>
                            <w:t>Natación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112.4pt;height:46.35pt;mso-wrap-distance-left:9pt;mso-wrap-distance-right:9pt;mso-wrap-distance-top:0pt;mso-wrap-distance-bottom:0pt;margin-top:7.35pt;mso-position-vertical-relative:text;margin-left:46.2pt;mso-position-horizontal-relative:text">
              <v:textbox inset="0in,0in,0in,0in">
                <w:txbxContent>
                  <w:p>
                    <w:pPr>
                      <w:pStyle w:val="Contenidodelmarco"/>
                      <w:spacing w:lineRule="auto" w:line="192"/>
                      <w:rPr/>
                    </w:pPr>
                    <w:r>
                      <w:rPr>
                        <w:rFonts w:ascii="Open Sans" w:hAnsi="Open Sans"/>
                        <w:b/>
                        <w:bCs/>
                        <w:color w:val="000066"/>
                        <w:sz w:val="26"/>
                        <w:szCs w:val="26"/>
                      </w:rPr>
                      <w:t>Federación Galega</w:t>
                    </w:r>
                  </w:p>
                  <w:p>
                    <w:pPr>
                      <w:pStyle w:val="Contenidodelmarco"/>
                      <w:spacing w:lineRule="auto" w:line="192" w:before="0" w:after="160"/>
                      <w:rPr/>
                    </w:pPr>
                    <w:r>
                      <w:rPr>
                        <w:rFonts w:ascii="Open Sans" w:hAnsi="Open Sans"/>
                        <w:color w:val="000066"/>
                        <w:sz w:val="26"/>
                        <w:szCs w:val="26"/>
                      </w:rPr>
                      <w:t xml:space="preserve">de </w:t>
                    </w:r>
                    <w:r>
                      <w:rPr>
                        <w:rFonts w:ascii="Open Sans" w:hAnsi="Open Sans"/>
                        <w:b/>
                        <w:bCs/>
                        <w:color w:val="000066"/>
                        <w:sz w:val="26"/>
                        <w:szCs w:val="26"/>
                      </w:rPr>
                      <w:t>Natación</w:t>
                    </w:r>
                  </w:p>
                </w:txbxContent>
              </v:textbox>
            </v:rect>
          </w:pict>
        </mc:Fallback>
      </mc:AlternateContent>
    </w:r>
  </w:p>
  <w:p>
    <w:pPr>
      <w:pStyle w:val="Cabecera"/>
      <w:rPr/>
    </w:pPr>
    <w:r>
      <w:rPr/>
    </w:r>
  </w:p>
  <w:p>
    <w:pPr>
      <w:pStyle w:val="Cabecera"/>
      <w:rPr/>
    </w:pPr>
    <w:r>
      <w:rPr/>
    </w:r>
  </w:p>
  <w:p>
    <w:pPr>
      <w:pStyle w:val="Cabecer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es-ES" w:eastAsia="en-US" w:bidi="ar-SA"/>
        <w14:ligatures w14:val="standardContextual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es-ES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aa743d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aa743d"/>
    <w:rPr/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163afa"/>
    <w:rPr>
      <w:rFonts w:ascii="Tahoma" w:hAnsi="Tahoma" w:cs="Tahoma"/>
      <w:sz w:val="16"/>
      <w:szCs w:val="16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aa743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aa743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aa743d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ahoma" w:cs="Tahoma"/>
      <w:color w:val="auto"/>
      <w:kern w:val="2"/>
      <w:sz w:val="24"/>
      <w:szCs w:val="24"/>
      <w:lang w:val="gl-ES" w:eastAsia="zh-CN" w:bidi="es-ES"/>
      <w14:ligatures w14:val="standardContextual"/>
    </w:rPr>
  </w:style>
  <w:style w:type="paragraph" w:styleId="ListParagraph">
    <w:name w:val="List Paragraph"/>
    <w:basedOn w:val="Normal"/>
    <w:uiPriority w:val="34"/>
    <w:qFormat/>
    <w:rsid w:val="001f6991"/>
    <w:pPr>
      <w:spacing w:before="0" w:after="160"/>
      <w:ind w:left="720" w:hanging="0"/>
      <w:contextualSpacing/>
    </w:pPr>
    <w:rPr/>
  </w:style>
  <w:style w:type="paragraph" w:styleId="Textbody" w:customStyle="1">
    <w:name w:val="Text body"/>
    <w:basedOn w:val="Normal"/>
    <w:qFormat/>
    <w:rsid w:val="004564e2"/>
    <w:pPr>
      <w:widowControl w:val="false"/>
      <w:suppressAutoHyphens w:val="true"/>
      <w:spacing w:lineRule="auto" w:line="240" w:before="113" w:after="0"/>
      <w:jc w:val="both"/>
      <w:textAlignment w:val="baseline"/>
    </w:pPr>
    <w:rPr>
      <w:rFonts w:ascii="Open Sans" w:hAnsi="Open Sans" w:eastAsia="DejaVu Sans" w:cs="Tahoma"/>
      <w:kern w:val="2"/>
      <w:sz w:val="20"/>
      <w:szCs w:val="24"/>
      <w:lang w:val="gl-ES" w:eastAsia="es-ES" w:bidi="gl-ES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163af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Application>LibreOffice/6.3.6.2$Windows_X86_64 LibreOffice_project/2196df99b074d8a661f4036fca8fa0cbfa33a497</Application>
  <Pages>3</Pages>
  <Words>791</Words>
  <Characters>3980</Characters>
  <CharactersWithSpaces>4702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2023-05-08T13:23:00Z</dcterms:created>
  <dc:creator>Daniel Toro Varela</dc:creator>
  <dc:description/>
  <dc:language>es-ES</dc:language>
  <cp:lastModifiedBy/>
  <cp:lastPrinted>2023-08-08T07:06:00Z</cp:lastPrinted>
  <dcterms:modified xsi:type="dcterms:W3CDTF">2024-05-20T07:31:16Z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