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LineNumbers/>
        <w:suppressAutoHyphens w:val="true"/>
        <w:spacing w:lineRule="auto" w:line="240"/>
        <w:ind w:left="-709" w:hanging="0"/>
        <w:jc w:val="center"/>
        <w:textAlignment w:val="baseline"/>
        <w:rPr/>
      </w:pPr>
      <w:r>
        <w:rPr>
          <w:rFonts w:eastAsia="Copperplate Gothic Light" w:cs="Copperplate Gothic Light" w:ascii="Open Sans" w:hAnsi="Open Sans"/>
          <w:caps/>
          <w:color w:val="000099"/>
          <w:kern w:val="2"/>
          <w:sz w:val="40"/>
          <w:szCs w:val="20"/>
          <w:lang w:val="gl-ES" w:eastAsia="zh-CN" w:bidi="es-ES"/>
        </w:rPr>
        <w:t xml:space="preserve">PROYECTO Cto. </w:t>
      </w:r>
      <w:r>
        <w:rPr>
          <w:rFonts w:eastAsia="Eurasia, Calibri" w:cs="Eurasia, Calibri" w:ascii="Open Sans" w:hAnsi="Open Sans"/>
          <w:caps/>
          <w:color w:val="000099"/>
          <w:kern w:val="2"/>
          <w:sz w:val="40"/>
          <w:szCs w:val="20"/>
          <w:lang w:val="gl-ES" w:eastAsia="zh-CN" w:bidi="es-ES"/>
        </w:rPr>
        <w:t>Gallego</w:t>
      </w:r>
      <w:r>
        <w:rPr>
          <w:rFonts w:eastAsia="Copperplate Gothic Light" w:cs="Copperplate Gothic Light" w:ascii="Open Sans" w:hAnsi="Open Sans"/>
          <w:caps/>
          <w:color w:val="000099"/>
          <w:kern w:val="2"/>
          <w:sz w:val="40"/>
          <w:szCs w:val="20"/>
          <w:lang w:val="gl-ES" w:eastAsia="zh-CN" w:bidi="es-ES"/>
        </w:rPr>
        <w:t xml:space="preserve"> </w:t>
      </w:r>
      <w:r>
        <w:rPr>
          <w:rFonts w:eastAsia="Eurasia, Calibri" w:cs="Eurasia, Calibri" w:ascii="Open Sans" w:hAnsi="Open Sans"/>
          <w:caps/>
          <w:color w:val="000099"/>
          <w:kern w:val="2"/>
          <w:sz w:val="40"/>
          <w:szCs w:val="20"/>
          <w:lang w:val="gl-ES" w:eastAsia="zh-CN" w:bidi="es-ES"/>
        </w:rPr>
        <w:t>de</w:t>
      </w:r>
      <w:r>
        <w:rPr>
          <w:rFonts w:eastAsia="Copperplate Gothic Light" w:cs="Copperplate Gothic Light" w:ascii="Open Sans" w:hAnsi="Open Sans"/>
          <w:caps/>
          <w:color w:val="000099"/>
          <w:kern w:val="2"/>
          <w:sz w:val="40"/>
          <w:szCs w:val="20"/>
          <w:lang w:val="gl-ES" w:eastAsia="zh-CN" w:bidi="es-ES"/>
        </w:rPr>
        <w:t xml:space="preserve"> </w:t>
      </w:r>
      <w:r>
        <w:rPr>
          <w:rFonts w:eastAsia="Eurasia, Calibri" w:cs="Eurasia, Calibri" w:ascii="Open Sans" w:hAnsi="Open Sans"/>
          <w:caps/>
          <w:color w:val="000099"/>
          <w:kern w:val="2"/>
          <w:sz w:val="40"/>
          <w:szCs w:val="20"/>
          <w:lang w:val="gl-ES" w:eastAsia="zh-CN" w:bidi="es-ES"/>
        </w:rPr>
        <w:t>Natación</w:t>
      </w:r>
      <w:r>
        <w:rPr>
          <w:rFonts w:eastAsia="Copperplate Gothic Light" w:cs="Copperplate Gothic Light" w:ascii="Open Sans" w:hAnsi="Open Sans"/>
          <w:caps/>
          <w:color w:val="000099"/>
          <w:kern w:val="2"/>
          <w:sz w:val="40"/>
          <w:szCs w:val="20"/>
          <w:lang w:val="gl-ES" w:eastAsia="zh-CN" w:bidi="es-ES"/>
        </w:rPr>
        <w:t xml:space="preserve"> </w:t>
      </w:r>
      <w:r>
        <w:rPr>
          <w:rFonts w:eastAsia="Eurasia, Calibri" w:cs="Eurasia, Calibri" w:ascii="Open Sans" w:hAnsi="Open Sans"/>
          <w:caps/>
          <w:color w:val="000099"/>
          <w:kern w:val="2"/>
          <w:sz w:val="40"/>
          <w:szCs w:val="20"/>
          <w:lang w:val="gl-ES" w:eastAsia="zh-CN" w:bidi="es-ES"/>
        </w:rPr>
        <w:t>Alevín</w:t>
      </w:r>
      <w:r>
        <w:rPr>
          <w:rFonts w:eastAsia="Copperplate Gothic Light" w:cs="Copperplate Gothic Light" w:ascii="Open Sans" w:hAnsi="Open Sans"/>
          <w:caps/>
          <w:color w:val="000099"/>
          <w:kern w:val="2"/>
          <w:sz w:val="40"/>
          <w:szCs w:val="20"/>
          <w:lang w:val="gl-ES" w:eastAsia="zh-CN" w:bidi="es-ES"/>
        </w:rPr>
        <w:t xml:space="preserve"> de InviernO </w:t>
      </w:r>
      <w:bookmarkStart w:id="0" w:name="__DdeLink__1113_4052451337"/>
      <w:r>
        <w:rPr>
          <w:rFonts w:eastAsia="Copperplate Gothic Light" w:cs="Copperplate Gothic Light" w:ascii="Open Sans" w:hAnsi="Open Sans"/>
          <w:caps/>
          <w:color w:val="000099"/>
          <w:kern w:val="2"/>
          <w:sz w:val="40"/>
          <w:szCs w:val="20"/>
          <w:lang w:val="gl-ES" w:eastAsia="zh-CN" w:bidi="es-ES"/>
        </w:rPr>
        <w:t>Xunta de Galicia</w:t>
      </w:r>
      <w:bookmarkEnd w:id="0"/>
    </w:p>
    <w:p>
      <w:pPr>
        <w:pStyle w:val="Normal"/>
        <w:widowControl w:val="false"/>
        <w:suppressAutoHyphens w:val="true"/>
        <w:spacing w:lineRule="auto" w:line="240" w:before="113" w:after="0"/>
        <w:ind w:left="-709" w:hanging="0"/>
        <w:jc w:val="center"/>
        <w:textAlignment w:val="baseline"/>
        <w:rPr/>
      </w:pPr>
      <w:r>
        <w:rPr>
          <w:rFonts w:eastAsia="DejaVu Sans" w:cs="Tahoma" w:ascii="Open Sans" w:hAnsi="Open Sans"/>
          <w:kern w:val="2"/>
          <w:sz w:val="20"/>
          <w:szCs w:val="20"/>
          <w:lang w:val="gl-ES" w:eastAsia="zh-CN" w:bidi="gl-ES"/>
        </w:rPr>
        <w:t>Temporada</w:t>
      </w:r>
      <w:r>
        <w:rPr>
          <w:rFonts w:eastAsia="Eurasia, Calibri" w:cs="Eurasia, Calibri" w:ascii="Open Sans" w:hAnsi="Open Sans"/>
          <w:kern w:val="2"/>
          <w:sz w:val="20"/>
          <w:szCs w:val="20"/>
          <w:lang w:val="gl-ES" w:eastAsia="zh-CN" w:bidi="gl-ES"/>
        </w:rPr>
        <w:t xml:space="preserve"> </w:t>
      </w:r>
      <w:r>
        <w:rPr>
          <w:rFonts w:eastAsia="Eurasia, Calibri" w:cs="Eurasia, Calibri" w:ascii="Open Sans" w:hAnsi="Open Sans"/>
          <w:kern w:val="2"/>
          <w:sz w:val="20"/>
          <w:szCs w:val="20"/>
          <w:highlight w:val="yellow"/>
          <w:lang w:val="gl-ES" w:eastAsia="zh-CN" w:bidi="gl-ES"/>
        </w:rPr>
        <w:t>2024/25</w:t>
      </w:r>
      <w:r>
        <w:rPr>
          <w:rFonts w:eastAsia="Eurasia, Calibri" w:cs="Eurasia, Calibri" w:ascii="Open Sans" w:hAnsi="Open Sans"/>
          <w:kern w:val="2"/>
          <w:sz w:val="20"/>
          <w:szCs w:val="20"/>
          <w:lang w:val="gl-ES" w:eastAsia="zh-CN" w:bidi="gl-ES"/>
        </w:rPr>
        <w:t xml:space="preserve">. </w:t>
      </w:r>
      <w:r>
        <w:rPr>
          <w:rFonts w:eastAsia="DejaVu Sans" w:cs="Tahoma" w:ascii="Open Sans" w:hAnsi="Open Sans"/>
          <w:kern w:val="2"/>
          <w:sz w:val="20"/>
          <w:szCs w:val="20"/>
          <w:lang w:val="gl-ES" w:eastAsia="zh-CN" w:bidi="gl-ES"/>
        </w:rPr>
        <w:t>Circular</w:t>
      </w:r>
      <w:r>
        <w:rPr>
          <w:rFonts w:eastAsia="Eurasia, Calibri" w:cs="Eurasia, Calibri" w:ascii="Open Sans" w:hAnsi="Open Sans"/>
          <w:kern w:val="2"/>
          <w:sz w:val="20"/>
          <w:szCs w:val="20"/>
          <w:lang w:val="gl-ES" w:eastAsia="zh-CN" w:bidi="gl-ES"/>
        </w:rPr>
        <w:t xml:space="preserve"> </w:t>
      </w:r>
      <w:r>
        <w:rPr>
          <w:rFonts w:eastAsia="Sanford, Calibri" w:cs="Eurasia, Calibri" w:ascii="Open Sans" w:hAnsi="Open Sans"/>
          <w:color w:val="auto"/>
          <w:kern w:val="2"/>
          <w:sz w:val="20"/>
          <w:szCs w:val="20"/>
          <w:lang w:val="gl-ES" w:eastAsia="zh-CN" w:bidi="gl-ES"/>
        </w:rPr>
        <w:t>24-17</w:t>
      </w:r>
    </w:p>
    <w:p>
      <w:pPr>
        <w:pStyle w:val="Normal"/>
        <w:widowControl w:val="false"/>
        <w:suppressAutoHyphens w:val="true"/>
        <w:spacing w:lineRule="auto" w:line="240" w:before="113" w:after="0"/>
        <w:ind w:left="-709" w:hanging="0"/>
        <w:jc w:val="center"/>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1.- Organización, fechas y sedes</w:t>
      </w:r>
    </w:p>
    <w:p>
      <w:pPr>
        <w:pStyle w:val="Normal"/>
        <w:widowControl w:val="false"/>
        <w:suppressAutoHyphens w:val="true"/>
        <w:spacing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1.1.- Se celebrará a nivel regional en dos jornadas de doble sesión cada una.</w:t>
      </w:r>
    </w:p>
    <w:p>
      <w:pPr>
        <w:pStyle w:val="Normal"/>
        <w:widowControl w:val="false"/>
        <w:suppressAutoHyphens w:val="true"/>
        <w:spacing w:before="113" w:after="0"/>
        <w:ind w:left="-709" w:hanging="0"/>
        <w:textAlignment w:val="baseline"/>
        <w:rPr>
          <w:rFonts w:ascii="Open Sans" w:hAnsi="Open Sans" w:eastAsia="DejaVu Sans" w:cs="Tahoma"/>
          <w:color w:val="000000" w:themeColor="text1"/>
          <w:kern w:val="2"/>
          <w:sz w:val="20"/>
          <w:szCs w:val="20"/>
          <w:lang w:val="gl-ES" w:eastAsia="zh-CN" w:bidi="gl-ES"/>
        </w:rPr>
      </w:pPr>
      <w:r>
        <w:rPr>
          <w:rFonts w:eastAsia="DejaVu Sans" w:cs="Tahoma" w:ascii="Open Sans" w:hAnsi="Open Sans"/>
          <w:color w:val="000000" w:themeColor="text1"/>
          <w:kern w:val="2"/>
          <w:sz w:val="20"/>
          <w:szCs w:val="20"/>
          <w:lang w:val="gl-ES" w:eastAsia="zh-CN" w:bidi="gl-ES"/>
        </w:rPr>
        <w:t>1.2.- Las fechas y sede serán las establecidas en el calendario de natación para la presente temporada.</w:t>
      </w:r>
    </w:p>
    <w:p>
      <w:pPr>
        <w:pStyle w:val="Normal"/>
        <w:widowControl w:val="false"/>
        <w:suppressAutoHyphens w:val="true"/>
        <w:spacing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1.3.- Las sesiones de mañana darán comienzo a las 10:00*h. y las de tarde a las 17:00*h.</w:t>
      </w:r>
    </w:p>
    <w:p>
      <w:pPr>
        <w:pStyle w:val="Normal"/>
        <w:ind w:left="-709" w:hanging="0"/>
        <w:rPr>
          <w:rFonts w:ascii="Open Sans" w:hAnsi="Open Sans" w:cs="Open Sans"/>
          <w:sz w:val="20"/>
          <w:szCs w:val="20"/>
          <w:lang w:eastAsia="zh-CN" w:bidi="hi-IN"/>
        </w:rPr>
      </w:pPr>
      <w:r>
        <w:rPr>
          <w:rFonts w:cs="Open Sans" w:ascii="Open Sans" w:hAnsi="Open Sans"/>
          <w:sz w:val="20"/>
          <w:szCs w:val="20"/>
          <w:lang w:eastAsia="zh-CN" w:bidi="hi-IN"/>
        </w:rPr>
        <w:t>*El horario de inicio podrá modificarse en función de las inscripciones finales según criterio de la Comisión Técnica.</w:t>
      </w:r>
    </w:p>
    <w:p>
      <w:pPr>
        <w:pStyle w:val="Normal"/>
        <w:ind w:left="-709" w:hanging="0"/>
        <w:rPr>
          <w:rFonts w:ascii="Open Sans" w:hAnsi="Open Sans" w:cs="Open Sans"/>
          <w:sz w:val="20"/>
          <w:szCs w:val="20"/>
          <w:lang w:val="gl-ES" w:eastAsia="zh-CN" w:bidi="gl-ES"/>
        </w:rPr>
      </w:pPr>
      <w:r>
        <w:rPr>
          <w:rFonts w:cs="Open Sans" w:ascii="Open Sans" w:hAnsi="Open Sans"/>
          <w:sz w:val="20"/>
          <w:szCs w:val="20"/>
          <w:lang w:val="gl-ES" w:eastAsia="zh-CN" w:bidi="gl-ES"/>
        </w:rPr>
        <w:t>1.4.- La piscina deberá estar la disposición de los equipos participantes dos horas antes del inicio de cada sesión y media hora después de su finalización, así como el día previo al campeonato en horario de tarde y previa solicitud de los clubes interesados al club organizador. Los nadadores tienen derecho a realizar el calentamiento hasta 10 minutos antes de que comience la sesión.</w:t>
      </w:r>
    </w:p>
    <w:p>
      <w:pPr>
        <w:pStyle w:val="Normal"/>
        <w:ind w:left="-709" w:hanging="0"/>
        <w:rPr>
          <w:rFonts w:ascii="Open Sans" w:hAnsi="Open Sans" w:eastAsia="NSimSun" w:cs="Open Sans"/>
          <w:sz w:val="20"/>
          <w:szCs w:val="20"/>
          <w:lang w:eastAsia="zh-CN" w:bidi="hi-IN"/>
        </w:rPr>
      </w:pPr>
      <w:r>
        <w:rPr>
          <w:rFonts w:eastAsia="NSimSun" w:cs="Open Sans" w:ascii="Open Sans" w:hAnsi="Open Sans"/>
          <w:sz w:val="20"/>
          <w:szCs w:val="20"/>
          <w:lang w:eastAsia="zh-CN" w:bidi="hi-IN"/>
        </w:rPr>
        <w:t>1.5.- Habrá turnos rotativos de calentamiento durante las diferentes sesiones de 50 minutos de duración</w:t>
      </w:r>
    </w:p>
    <w:p>
      <w:pPr>
        <w:pStyle w:val="Normal"/>
        <w:ind w:left="-709" w:hanging="0"/>
        <w:rPr>
          <w:rFonts w:ascii="Open Sans" w:hAnsi="Open Sans" w:eastAsia="NSimSun" w:cs="Open Sans"/>
          <w:sz w:val="20"/>
          <w:szCs w:val="20"/>
          <w:lang w:eastAsia="zh-CN" w:bidi="hi-IN"/>
        </w:rPr>
      </w:pPr>
      <w:r>
        <w:rPr>
          <w:rFonts w:eastAsia="NSimSun" w:cs="Open Sans" w:ascii="Open Sans" w:hAnsi="Open Sans"/>
          <w:sz w:val="20"/>
          <w:szCs w:val="20"/>
          <w:lang w:eastAsia="zh-CN" w:bidi="hi-IN"/>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2.- Programa de pruebas</w:t>
      </w:r>
    </w:p>
    <w:p>
      <w:pPr>
        <w:pStyle w:val="Normal"/>
        <w:widowControl w:val="false"/>
        <w:suppressAutoHyphens w:val="true"/>
        <w:spacing w:lineRule="auto" w:line="240"/>
        <w:jc w:val="left"/>
        <w:textAlignment w:val="baseline"/>
        <w:rPr>
          <w:rFonts w:ascii="Liberation Serif" w:hAnsi="Liberation Serif" w:eastAsia="NSimSun" w:cs="Arial"/>
          <w:kern w:val="2"/>
          <w:szCs w:val="24"/>
          <w:lang w:val="gl-ES" w:eastAsia="zh-CN" w:bidi="gl-ES"/>
        </w:rPr>
      </w:pPr>
      <w:r>
        <w:rPr>
          <w:rFonts w:eastAsia="NSimSun" w:cs="Arial" w:ascii="Liberation Serif" w:hAnsi="Liberation Serif"/>
          <w:kern w:val="2"/>
          <w:szCs w:val="24"/>
          <w:lang w:val="gl-ES" w:eastAsia="zh-CN" w:bidi="gl-ES"/>
        </w:rPr>
      </w:r>
    </w:p>
    <w:tbl>
      <w:tblPr>
        <w:tblW w:w="6200" w:type="dxa"/>
        <w:jc w:val="left"/>
        <w:tblInd w:w="1155" w:type="dxa"/>
        <w:tblCellMar>
          <w:top w:w="0" w:type="dxa"/>
          <w:left w:w="70" w:type="dxa"/>
          <w:bottom w:w="0" w:type="dxa"/>
          <w:right w:w="70" w:type="dxa"/>
        </w:tblCellMar>
        <w:tblLook w:firstRow="1" w:noVBand="1" w:lastRow="0" w:firstColumn="1" w:lastColumn="0" w:noHBand="0" w:val="04a0"/>
      </w:tblPr>
      <w:tblGrid>
        <w:gridCol w:w="383"/>
        <w:gridCol w:w="2717"/>
        <w:gridCol w:w="367"/>
        <w:gridCol w:w="2732"/>
      </w:tblGrid>
      <w:tr>
        <w:trPr>
          <w:trHeight w:val="300" w:hRule="atLeast"/>
        </w:trPr>
        <w:tc>
          <w:tcPr>
            <w:tcW w:w="3100" w:type="dxa"/>
            <w:gridSpan w:val="2"/>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b/>
                <w:b/>
                <w:bCs/>
                <w:color w:val="000000"/>
                <w:szCs w:val="20"/>
                <w:lang w:eastAsia="es-ES"/>
              </w:rPr>
            </w:pPr>
            <w:r>
              <w:rPr>
                <w:rFonts w:eastAsia="Times New Roman" w:ascii="Open Sans" w:hAnsi="Open Sans"/>
                <w:b/>
                <w:bCs/>
                <w:color w:val="000000"/>
                <w:szCs w:val="20"/>
                <w:lang w:eastAsia="es-ES"/>
              </w:rPr>
              <w:t>Sábado Mañana: Sesión 1</w:t>
            </w:r>
          </w:p>
        </w:tc>
        <w:tc>
          <w:tcPr>
            <w:tcW w:w="3099" w:type="dxa"/>
            <w:gridSpan w:val="2"/>
            <w:tcBorders>
              <w:top w:val="single" w:sz="8"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b/>
                <w:b/>
                <w:bCs/>
                <w:color w:val="000000"/>
                <w:szCs w:val="20"/>
                <w:lang w:eastAsia="es-ES"/>
              </w:rPr>
            </w:pPr>
            <w:r>
              <w:rPr>
                <w:rFonts w:eastAsia="Times New Roman" w:ascii="Open Sans" w:hAnsi="Open Sans"/>
                <w:b/>
                <w:bCs/>
                <w:color w:val="000000"/>
                <w:szCs w:val="20"/>
                <w:lang w:eastAsia="es-ES"/>
              </w:rPr>
              <w:t>Domingo Mañana: Sesión 1</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Estilos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21</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Libre femn.</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Libre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22</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400 Libre masc.</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Braza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23</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Espalda femn.</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Braza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24</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Espalda masc.</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Espalda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25</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Mariposa femn.</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6</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Espalda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26</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Mariposa masc.</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7</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Mariposa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27</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Libre femn.</w:t>
            </w:r>
          </w:p>
        </w:tc>
      </w:tr>
      <w:tr>
        <w:trPr>
          <w:trHeight w:val="315"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8</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Mariposa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28</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Libre masc.</w:t>
            </w:r>
          </w:p>
        </w:tc>
      </w:tr>
      <w:tr>
        <w:trPr>
          <w:trHeight w:val="315"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9</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800 Libre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29</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400 Estilos femn.</w:t>
            </w:r>
          </w:p>
        </w:tc>
      </w:tr>
      <w:tr>
        <w:trPr>
          <w:trHeight w:val="315"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 x 200 Libre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30</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Estilos masc.</w:t>
            </w:r>
          </w:p>
        </w:tc>
      </w:tr>
      <w:tr>
        <w:trPr>
          <w:trHeight w:val="315" w:hRule="atLeast"/>
        </w:trPr>
        <w:tc>
          <w:tcPr>
            <w:tcW w:w="3100" w:type="dxa"/>
            <w:gridSpan w:val="2"/>
            <w:vMerge w:val="restart"/>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31</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 x 100 Libre femn.</w:t>
            </w:r>
          </w:p>
        </w:tc>
      </w:tr>
      <w:tr>
        <w:trPr>
          <w:trHeight w:val="300" w:hRule="atLeast"/>
        </w:trPr>
        <w:tc>
          <w:tcPr>
            <w:tcW w:w="3100" w:type="dxa"/>
            <w:gridSpan w:val="2"/>
            <w:vMerge w:val="continue"/>
            <w:tcBorders>
              <w:top w:val="single" w:sz="4" w:space="0" w:color="000000"/>
              <w:left w:val="single" w:sz="8" w:space="0" w:color="000000"/>
              <w:bottom w:val="single" w:sz="4" w:space="0" w:color="000000"/>
              <w:right w:val="single" w:sz="4" w:space="0" w:color="000000"/>
            </w:tcBorders>
            <w:shd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32</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 x 100 Libre masc.</w:t>
            </w:r>
          </w:p>
        </w:tc>
      </w:tr>
      <w:tr>
        <w:trPr>
          <w:trHeight w:val="300" w:hRule="atLeast"/>
        </w:trPr>
        <w:tc>
          <w:tcPr>
            <w:tcW w:w="310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b/>
                <w:b/>
                <w:bCs/>
                <w:color w:val="000000"/>
                <w:szCs w:val="20"/>
                <w:lang w:eastAsia="es-ES"/>
              </w:rPr>
            </w:pPr>
            <w:r>
              <w:rPr>
                <w:rFonts w:eastAsia="Times New Roman" w:ascii="Open Sans" w:hAnsi="Open Sans"/>
                <w:b/>
                <w:bCs/>
                <w:color w:val="000000"/>
                <w:szCs w:val="20"/>
                <w:lang w:eastAsia="es-ES"/>
              </w:rPr>
              <w:t>Sábado Tarde: Sesión 2</w:t>
            </w:r>
          </w:p>
        </w:tc>
        <w:tc>
          <w:tcPr>
            <w:tcW w:w="3099" w:type="dxa"/>
            <w:gridSpan w:val="2"/>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b/>
                <w:b/>
                <w:bCs/>
                <w:color w:val="000000"/>
                <w:szCs w:val="20"/>
                <w:lang w:eastAsia="es-ES"/>
              </w:rPr>
            </w:pPr>
            <w:r>
              <w:rPr>
                <w:rFonts w:eastAsia="Times New Roman" w:ascii="Open Sans" w:hAnsi="Open Sans"/>
                <w:b/>
                <w:bCs/>
                <w:color w:val="000000"/>
                <w:szCs w:val="20"/>
                <w:lang w:eastAsia="es-ES"/>
              </w:rPr>
              <w:t>Domingo Tarde: Sesión 2</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11</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Estilos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33</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Braza masc.</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12</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Libre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34</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Braza femn.</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13</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Espalda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35</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400 Estilos masc.</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14</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50 Espalda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36</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Estilos femn.</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15</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Mariposa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37</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Libre masc.</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16</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200 Mariposa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38</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400 Libre femn.</w:t>
            </w:r>
          </w:p>
        </w:tc>
      </w:tr>
      <w:tr>
        <w:trPr>
          <w:trHeight w:val="300"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17</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Braza femn.</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39</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 x 100 Estilos masc.</w:t>
            </w:r>
          </w:p>
        </w:tc>
      </w:tr>
      <w:tr>
        <w:trPr>
          <w:trHeight w:val="315"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18</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100 Braza masc.</w:t>
            </w:r>
          </w:p>
        </w:tc>
        <w:tc>
          <w:tcPr>
            <w:tcW w:w="367" w:type="dxa"/>
            <w:tcBorders>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40</w:t>
            </w:r>
          </w:p>
        </w:tc>
        <w:tc>
          <w:tcPr>
            <w:tcW w:w="2732"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 x 100 Estilos femn.</w:t>
            </w:r>
          </w:p>
        </w:tc>
      </w:tr>
      <w:tr>
        <w:trPr>
          <w:trHeight w:val="315" w:hRule="atLeast"/>
        </w:trPr>
        <w:tc>
          <w:tcPr>
            <w:tcW w:w="383"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19</w:t>
            </w:r>
          </w:p>
        </w:tc>
        <w:tc>
          <w:tcPr>
            <w:tcW w:w="2717"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800 Libre femn.</w:t>
            </w:r>
          </w:p>
        </w:tc>
        <w:tc>
          <w:tcPr>
            <w:tcW w:w="3099" w:type="dxa"/>
            <w:gridSpan w:val="2"/>
            <w:vMerge w:val="restart"/>
            <w:tcBorders>
              <w:top w:val="single" w:sz="4" w:space="0" w:color="000000"/>
              <w:left w:val="single" w:sz="4" w:space="0" w:color="000000"/>
              <w:bottom w:val="single" w:sz="8"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r>
          </w:p>
        </w:tc>
      </w:tr>
      <w:tr>
        <w:trPr>
          <w:trHeight w:val="315" w:hRule="atLeast"/>
        </w:trPr>
        <w:tc>
          <w:tcPr>
            <w:tcW w:w="383"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20</w:t>
            </w:r>
          </w:p>
        </w:tc>
        <w:tc>
          <w:tcPr>
            <w:tcW w:w="2717" w:type="dxa"/>
            <w:tcBorders>
              <w:top w:val="single" w:sz="4" w:space="0" w:color="000000"/>
              <w:bottom w:val="single" w:sz="8"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t>4 x 200 Libre masc.</w:t>
            </w:r>
          </w:p>
        </w:tc>
        <w:tc>
          <w:tcPr>
            <w:tcW w:w="3099" w:type="dxa"/>
            <w:gridSpan w:val="2"/>
            <w:vMerge w:val="continue"/>
            <w:tcBorders>
              <w:top w:val="single" w:sz="4" w:space="0" w:color="000000"/>
              <w:left w:val="single" w:sz="4" w:space="0" w:color="000000"/>
              <w:bottom w:val="single" w:sz="8" w:space="0" w:color="000000"/>
              <w:right w:val="single" w:sz="8" w:space="0" w:color="000000"/>
            </w:tcBorders>
            <w:shd w:fill="auto" w:val="clear"/>
            <w:vAlign w:val="center"/>
          </w:tcPr>
          <w:p>
            <w:pPr>
              <w:pStyle w:val="Normal"/>
              <w:spacing w:lineRule="auto" w:line="240"/>
              <w:jc w:val="left"/>
              <w:rPr>
                <w:rFonts w:ascii="Open Sans" w:hAnsi="Open Sans" w:eastAsia="Times New Roman"/>
                <w:sz w:val="20"/>
                <w:szCs w:val="16"/>
                <w:lang w:eastAsia="es-ES"/>
              </w:rPr>
            </w:pPr>
            <w:r>
              <w:rPr>
                <w:rFonts w:eastAsia="Times New Roman" w:ascii="Open Sans" w:hAnsi="Open Sans"/>
                <w:sz w:val="20"/>
                <w:szCs w:val="16"/>
                <w:lang w:eastAsia="es-ES"/>
              </w:rPr>
            </w:r>
          </w:p>
        </w:tc>
      </w:tr>
    </w:tbl>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Cs w:val="20"/>
          <w:lang w:val="gl-ES" w:eastAsia="zh-CN" w:bidi="gl-ES"/>
        </w:rPr>
      </w:pPr>
      <w:r>
        <w:rPr>
          <w:rFonts w:eastAsia="DejaVu Sans" w:cs="Tahoma" w:ascii="Open Sans" w:hAnsi="Open Sans"/>
          <w:color w:val="000000"/>
          <w:kern w:val="2"/>
          <w:szCs w:val="20"/>
          <w:lang w:val="gl-ES" w:eastAsia="zh-CN" w:bidi="gl-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3.- Participación</w:t>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spacing w:val="10"/>
          <w:kern w:val="2"/>
          <w:sz w:val="20"/>
          <w:szCs w:val="20"/>
          <w:lang w:val="gl-ES" w:eastAsia="zh-CN" w:bidi="gl-ES"/>
        </w:rPr>
      </w:pPr>
      <w:r>
        <w:rPr>
          <w:rFonts w:eastAsia="Sanford, Calibri" w:cs="Sanford, Calibri" w:ascii="Open Sans" w:hAnsi="Open Sans"/>
          <w:bCs/>
          <w:spacing w:val="10"/>
          <w:kern w:val="2"/>
          <w:sz w:val="20"/>
          <w:szCs w:val="20"/>
          <w:lang w:val="gl-ES" w:eastAsia="zh-CN" w:bidi="gl-ES"/>
        </w:rPr>
      </w:r>
    </w:p>
    <w:p>
      <w:pPr>
        <w:pStyle w:val="Normal"/>
        <w:widowControl w:val="false"/>
        <w:suppressAutoHyphens w:val="true"/>
        <w:spacing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3.1.- La presente normativa está destinada a las categorías:</w:t>
      </w:r>
    </w:p>
    <w:p>
      <w:pPr>
        <w:pStyle w:val="Normal"/>
        <w:widowControl w:val="false"/>
        <w:suppressAutoHyphens w:val="true"/>
        <w:ind w:left="-709" w:hanging="0"/>
        <w:textAlignment w:val="baseline"/>
        <w:rPr>
          <w:rFonts w:ascii="Open Sans" w:hAnsi="Open Sans" w:eastAsia="NSimSun" w:cs="Arial"/>
          <w:kern w:val="2"/>
          <w:sz w:val="20"/>
          <w:szCs w:val="20"/>
          <w:highlight w:val="yellow"/>
          <w:lang w:eastAsia="zh-CN" w:bidi="hi-IN"/>
        </w:rPr>
      </w:pPr>
      <w:r>
        <w:rPr>
          <w:rFonts w:eastAsia="NSimSun" w:cs="Arial" w:ascii="Open Sans" w:hAnsi="Open Sans"/>
          <w:kern w:val="2"/>
          <w:sz w:val="20"/>
          <w:szCs w:val="20"/>
          <w:highlight w:val="yellow"/>
          <w:lang w:eastAsia="zh-CN" w:bidi="hi-IN"/>
        </w:rPr>
        <w:t>Masculina: nacidos 2012-2013</w:t>
      </w:r>
    </w:p>
    <w:p>
      <w:pPr>
        <w:pStyle w:val="Normal"/>
        <w:widowControl w:val="false"/>
        <w:suppressAutoHyphens w:val="true"/>
        <w:ind w:left="-709" w:hanging="0"/>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highlight w:val="yellow"/>
          <w:lang w:eastAsia="zh-CN" w:bidi="hi-IN"/>
        </w:rPr>
        <w:t>Femenina: nacidas 2012-2013</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 xml:space="preserve">3.2.- La participación está abierta a todos los nadadores de las categorías señaladas en este reglamento y que tengan acreditada la marca mínima en primera inscripción. </w:t>
      </w:r>
      <w:bookmarkStart w:id="1" w:name="_GoBack"/>
      <w:bookmarkEnd w:id="1"/>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3.3.- Cada nadador podrá participar como máximo en cuatro pruebas individuales y en todos los relevos.</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 xml:space="preserve">3.4.- Podrán inscribirse nadadores con mínima B pero con marca oficial en segunda inscripción, hasta completar el siguiente número de series por prueba: </w:t>
      </w:r>
    </w:p>
    <w:p>
      <w:pPr>
        <w:pStyle w:val="Normal"/>
        <w:widowControl w:val="false"/>
        <w:suppressAutoHyphens w:val="true"/>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800 libre tres series.</w:t>
      </w:r>
    </w:p>
    <w:p>
      <w:pPr>
        <w:pStyle w:val="Normal"/>
        <w:widowControl w:val="false"/>
        <w:suppressAutoHyphens w:val="true"/>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400 metros cinco series.</w:t>
      </w:r>
    </w:p>
    <w:p>
      <w:pPr>
        <w:pStyle w:val="Normal"/>
        <w:widowControl w:val="false"/>
        <w:suppressAutoHyphens w:val="true"/>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 xml:space="preserve">200 metros seis series </w:t>
      </w:r>
    </w:p>
    <w:p>
      <w:pPr>
        <w:pStyle w:val="Normal"/>
        <w:widowControl w:val="false"/>
        <w:suppressAutoHyphens w:val="true"/>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 xml:space="preserve">50 y 100 metros siete series. </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(Mínimas B +1 seg 50, +2 seg 100, +4 seg 200, +8 seg 400, +16 seg 800)</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3.5.- No existe limitación en cuanto al número de nadadores por club y prueba.</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3.6.- Cada club podrá inscribir un solo equipo de relevos por prueba y categoría siempre que tenga acreditada la marca mínima, bien por suma de tiempos de 4 nadadores en pruebas individuales, o realizada en un relevo con nadadores comprendidos en las categorías de referencia.</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 xml:space="preserve">3.7.- Un nadador que no participe en una prueba para la que esté inscrito no podrá participar en ninguna otra en la misma sesión, excepto si fuera dado de baja, según las normas del Art. 9 del libro IV del    Reglamento General de la FEGAN. </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Los nadadores con discapacidad funcional y/o visual solo podrán participar en las pruebas indicadas en el Anexo I.</w:t>
      </w:r>
    </w:p>
    <w:p>
      <w:pPr>
        <w:pStyle w:val="Normal"/>
        <w:widowControl w:val="false"/>
        <w:suppressAutoHyphens w:val="true"/>
        <w:spacing w:lineRule="auto" w:line="240"/>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4.-Inscripciones</w:t>
      </w:r>
    </w:p>
    <w:p>
      <w:pPr>
        <w:pStyle w:val="Normal"/>
        <w:widowControl w:val="false"/>
        <w:suppressAutoHyphens w:val="true"/>
        <w:spacing w:lineRule="auto" w:line="240"/>
        <w:jc w:val="left"/>
        <w:textAlignment w:val="baseline"/>
        <w:rPr>
          <w:rFonts w:ascii="Liberation Serif" w:hAnsi="Liberation Serif" w:eastAsia="NSimSun" w:cs="Arial"/>
          <w:kern w:val="2"/>
          <w:szCs w:val="24"/>
          <w:lang w:val="gl-ES" w:eastAsia="zh-CN" w:bidi="gl-ES"/>
        </w:rPr>
      </w:pPr>
      <w:r>
        <w:rPr>
          <w:rFonts w:eastAsia="NSimSun" w:cs="Arial" w:ascii="Liberation Serif" w:hAnsi="Liberation Serif"/>
          <w:kern w:val="2"/>
          <w:szCs w:val="24"/>
          <w:lang w:val="gl-ES" w:eastAsia="zh-CN" w:bidi="gl-ES"/>
        </w:rPr>
      </w:r>
    </w:p>
    <w:p>
      <w:pPr>
        <w:pStyle w:val="Normal"/>
        <w:widowControl w:val="false"/>
        <w:suppressAutoHyphens w:val="true"/>
        <w:ind w:left="-709" w:hanging="0"/>
        <w:textAlignment w:val="baseline"/>
        <w:rPr>
          <w:rFonts w:ascii="Open Sans" w:hAnsi="Open Sans" w:eastAsia="Tahoma" w:cs="Tahoma"/>
          <w:i/>
          <w:i/>
          <w:kern w:val="2"/>
          <w:sz w:val="20"/>
          <w:szCs w:val="20"/>
          <w:lang w:val="gl-ES" w:eastAsia="zh-CN" w:bidi="es-ES"/>
        </w:rPr>
      </w:pPr>
      <w:r>
        <w:rPr>
          <w:rFonts w:eastAsia="OpenSans" w:cs="OpenSans" w:ascii="Open Sans" w:hAnsi="Open Sans"/>
          <w:kern w:val="2"/>
          <w:sz w:val="20"/>
          <w:szCs w:val="20"/>
          <w:lang w:val="gl-ES" w:eastAsia="zh-CN" w:bidi="es-ES"/>
        </w:rPr>
        <w:t>4.1.- Se realizarán a través del LEVERADE y el acta de preinscripción que el propio programa genera, será</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remitida a la Federación por correo electrónico (inscricions@fegan.org). Junto con el dicho archivo se remitirá, en el mismo correo, el comprobante del pagado de la inscripción.</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4.2.- La primera inscripción para el campeonato deberán obrar en poder de la FEGAN 15 días antes del comienzo de la competición, siendo responsabilidad del club que realiza la inscripción asegurarse de que fue recibida por la FEGAN.</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4.3.- El listado provisional de participantes se publicará 5 días después antes de las 20:00 h. A partir de esa fecha se iniciará un período de segunda inscripción hasta 2 días después antes de las 20:00 h.</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4.4.- Marcas de inscripción. No se admitirán inscripciones sin marca acreditada ni anteriores al 1 de octubre de 2023</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4.5.- Deberán inscribirse también los nadadores que participen solo en relevos, remitiendo el impreso correspondiente junto con la citada acta de preinscripción.</w:t>
      </w:r>
    </w:p>
    <w:p>
      <w:pPr>
        <w:pStyle w:val="Normal"/>
        <w:widowControl w:val="false"/>
        <w:suppressAutoHyphens w:val="true"/>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t>4.6.- Los nadadores con discapacidad realizarán la inscripción según el Anexo II de la presente normativa.</w:t>
      </w:r>
    </w:p>
    <w:p>
      <w:pPr>
        <w:pStyle w:val="Normal"/>
        <w:widowControl w:val="false"/>
        <w:suppressAutoHyphens w:val="true"/>
        <w:spacing w:lineRule="auto" w:line="276"/>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r>
    </w:p>
    <w:p>
      <w:pPr>
        <w:pStyle w:val="Normal"/>
        <w:widowControl w:val="false"/>
        <w:suppressAutoHyphens w:val="true"/>
        <w:spacing w:lineRule="auto" w:line="276"/>
        <w:ind w:left="-709" w:hanging="0"/>
        <w:textAlignment w:val="baseline"/>
        <w:rPr>
          <w:rFonts w:ascii="Open Sans" w:hAnsi="Open Sans" w:eastAsia="OpenSans" w:cs="OpenSans"/>
          <w:kern w:val="2"/>
          <w:sz w:val="20"/>
          <w:szCs w:val="20"/>
          <w:lang w:val="gl-ES" w:eastAsia="zh-CN" w:bidi="es-ES"/>
        </w:rPr>
      </w:pPr>
      <w:r>
        <w:rPr>
          <w:rFonts w:eastAsia="OpenSans" w:cs="OpenSans" w:ascii="Open Sans" w:hAnsi="Open Sans"/>
          <w:kern w:val="2"/>
          <w:sz w:val="20"/>
          <w:szCs w:val="20"/>
          <w:lang w:val="gl-ES" w:eastAsia="zh-CN" w:bidi="es-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5.- Fórmula de competición</w:t>
      </w:r>
    </w:p>
    <w:p>
      <w:pPr>
        <w:pStyle w:val="Normal"/>
        <w:widowControl w:val="false"/>
        <w:suppressAutoHyphens w:val="true"/>
        <w:spacing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5.1.- Todas las pruebas se disputarán contra reloj.</w:t>
      </w:r>
    </w:p>
    <w:p>
      <w:pPr>
        <w:pStyle w:val="Normal"/>
        <w:widowControl w:val="false"/>
        <w:suppressAutoHyphens w:val="true"/>
        <w:ind w:left="-709" w:hanging="0"/>
        <w:textAlignment w:val="baseline"/>
        <w:rPr>
          <w:rFonts w:ascii="Open Sans" w:hAnsi="Open Sans" w:eastAsia="NSimSun" w:cs="Arial"/>
          <w:kern w:val="2"/>
          <w:sz w:val="20"/>
          <w:szCs w:val="20"/>
          <w:lang w:eastAsia="zh-CN" w:bidi="hi-IN"/>
        </w:rPr>
      </w:pPr>
      <w:bookmarkStart w:id="2" w:name="_Hlk1356695031"/>
      <w:bookmarkStart w:id="3" w:name="_Hlk1357199291"/>
      <w:bookmarkEnd w:id="2"/>
      <w:bookmarkEnd w:id="3"/>
      <w:r>
        <w:rPr>
          <w:rFonts w:eastAsia="Eurasia, Calibri" w:cs="Eurasia, Calibri" w:ascii="Open Sans" w:hAnsi="Open Sans"/>
          <w:kern w:val="2"/>
          <w:sz w:val="20"/>
          <w:szCs w:val="20"/>
          <w:lang w:eastAsia="zh-CN" w:bidi="hi-IN"/>
        </w:rPr>
        <w:t>5.2.- Los criterios de puntuación serán los siguientes:</w:t>
      </w:r>
    </w:p>
    <w:p>
      <w:pPr>
        <w:pStyle w:val="Normal"/>
        <w:widowControl w:val="false"/>
        <w:numPr>
          <w:ilvl w:val="0"/>
          <w:numId w:val="1"/>
        </w:numPr>
        <w:suppressAutoHyphens w:val="true"/>
        <w:spacing w:before="113" w:after="0"/>
        <w:ind w:left="284" w:hanging="284"/>
        <w:jc w:val="left"/>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Para la puntuación solo se tendrán en cuenta como máximo dos nadadores por club en cada prueba individual, con independencia de los que participen. Los clasificados después no serán puntuados, adjudicándose el derecho a puntuación al siguiente en la clasificación que no sea de ese mismo club.</w:t>
      </w:r>
    </w:p>
    <w:p>
      <w:pPr>
        <w:pStyle w:val="Normal"/>
        <w:widowControl w:val="false"/>
        <w:numPr>
          <w:ilvl w:val="0"/>
          <w:numId w:val="1"/>
        </w:numPr>
        <w:suppressAutoHyphens w:val="true"/>
        <w:spacing w:before="113" w:after="0"/>
        <w:ind w:left="284" w:hanging="284"/>
        <w:jc w:val="left"/>
        <w:textAlignment w:val="baseline"/>
        <w:rPr>
          <w:rFonts w:ascii="Open Sans" w:hAnsi="Open Sans" w:eastAsia="Eurasia" w:cs="Eurasia"/>
          <w:color w:val="000000"/>
          <w:kern w:val="2"/>
          <w:sz w:val="20"/>
          <w:szCs w:val="20"/>
          <w:lang w:val="gl-ES" w:eastAsia="zh-CN" w:bidi="gl-ES"/>
        </w:rPr>
      </w:pPr>
      <w:r>
        <w:rPr>
          <w:rFonts w:eastAsia="Eurasia" w:cs="Eurasia" w:ascii="Open Sans" w:hAnsi="Open Sans"/>
          <w:color w:val="000000"/>
          <w:kern w:val="2"/>
          <w:sz w:val="20"/>
          <w:szCs w:val="20"/>
          <w:lang w:val="gl-ES" w:eastAsia="zh-CN" w:bidi="gl-ES"/>
        </w:rPr>
        <w:t>Puntuarán los 16 primeiros clasificados de cada prueba individual/relevo. Las puntuaciones en las pruebas individuales serán: 19, 16, 14, 13, 12, 11, 10, 9, 8, 7, 6, 5, 4, 3, 2, 1.</w:t>
      </w:r>
    </w:p>
    <w:p>
      <w:pPr>
        <w:pStyle w:val="Normal"/>
        <w:widowControl w:val="false"/>
        <w:numPr>
          <w:ilvl w:val="0"/>
          <w:numId w:val="1"/>
        </w:numPr>
        <w:suppressAutoHyphens w:val="true"/>
        <w:spacing w:before="113" w:after="0"/>
        <w:ind w:left="284" w:hanging="284"/>
        <w:jc w:val="left"/>
        <w:textAlignment w:val="baseline"/>
        <w:rPr>
          <w:rFonts w:ascii="Open Sans" w:hAnsi="Open Sans" w:eastAsia="Eurasia" w:cs="Eurasia"/>
          <w:color w:val="000000"/>
          <w:kern w:val="2"/>
          <w:sz w:val="20"/>
          <w:szCs w:val="20"/>
          <w:lang w:val="gl-ES" w:eastAsia="zh-CN" w:bidi="gl-ES"/>
        </w:rPr>
      </w:pPr>
      <w:r>
        <w:rPr>
          <w:rFonts w:eastAsia="Eurasia" w:cs="Eurasia" w:ascii="Open Sans" w:hAnsi="Open Sans"/>
          <w:color w:val="000000"/>
          <w:kern w:val="2"/>
          <w:sz w:val="20"/>
          <w:szCs w:val="20"/>
          <w:lang w:val="gl-ES" w:eastAsia="zh-CN" w:bidi="gl-ES"/>
        </w:rPr>
        <w:t>La puntuación en las pruebas de relevos será: 38, 32, 28, 26, 24, 22, 20, 18, 16, 14, 12, 10, 8, 6, 4, 2.</w:t>
      </w:r>
    </w:p>
    <w:p>
      <w:pPr>
        <w:pStyle w:val="Normal"/>
        <w:widowControl w:val="false"/>
        <w:suppressAutoHyphens w:val="true"/>
        <w:ind w:left="-709" w:hanging="0"/>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lang w:eastAsia="zh-CN" w:bidi="hi-IN"/>
        </w:rPr>
        <w:t>5.3.- Los récords que se batan o igualen en la competición individual, con independencia del puesto, tendrán la puntuación extra que se indica a continuación:</w:t>
      </w:r>
    </w:p>
    <w:p>
      <w:pPr>
        <w:pStyle w:val="Normal"/>
        <w:widowControl w:val="false"/>
        <w:suppressAutoHyphens w:val="true"/>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lang w:eastAsia="zh-CN" w:bidi="hi-IN"/>
        </w:rPr>
        <w:t>a) Mejor Marca Gallega: 3 puntos</w:t>
      </w:r>
    </w:p>
    <w:p>
      <w:pPr>
        <w:pStyle w:val="Normal"/>
        <w:widowControl w:val="false"/>
        <w:suppressAutoHyphens w:val="true"/>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lang w:eastAsia="zh-CN" w:bidi="hi-IN"/>
        </w:rPr>
        <w:t>b) Mejor Marca Nacional: 6 puntos</w:t>
      </w:r>
    </w:p>
    <w:p>
      <w:pPr>
        <w:pStyle w:val="Normal"/>
        <w:widowControl w:val="false"/>
        <w:suppressAutoHyphens w:val="true"/>
        <w:ind w:left="-709" w:hanging="0"/>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lang w:eastAsia="zh-CN" w:bidi="hi-IN"/>
        </w:rPr>
        <w:t>Estas puntuaciones extra no son acumulables entre sí en una misma prueba, prevaleciendo siempre la de mayor puntuación.</w:t>
      </w:r>
    </w:p>
    <w:p>
      <w:pPr>
        <w:pStyle w:val="Normal"/>
        <w:widowControl w:val="false"/>
        <w:suppressAutoHyphens w:val="true"/>
        <w:ind w:left="-709" w:hanging="0"/>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highlight w:val="yellow"/>
          <w:lang w:eastAsia="zh-CN" w:bidi="hi-IN"/>
        </w:rPr>
        <w:t>5.4.- Las bajas y composición de relevos deberán enviarse como máximo hasta 60 minutos antes del inicio de cada sesión</w:t>
      </w:r>
      <w:r>
        <w:rPr>
          <w:rFonts w:eastAsia="NSimSun" w:cs="Arial" w:ascii="Open Sans" w:hAnsi="Open Sans"/>
          <w:kern w:val="2"/>
          <w:sz w:val="20"/>
          <w:szCs w:val="20"/>
          <w:lang w:eastAsia="zh-CN" w:bidi="hi-IN"/>
        </w:rPr>
        <w:t>.</w:t>
      </w:r>
    </w:p>
    <w:p>
      <w:pPr>
        <w:pStyle w:val="Normal"/>
        <w:widowControl w:val="false"/>
        <w:suppressAutoHyphens w:val="true"/>
        <w:ind w:left="-709" w:hanging="0"/>
        <w:textAlignment w:val="baseline"/>
        <w:rPr>
          <w:rFonts w:ascii="Open Sans" w:hAnsi="Open Sans" w:eastAsia="NSimSun" w:cs="Arial"/>
          <w:kern w:val="2"/>
          <w:sz w:val="20"/>
          <w:szCs w:val="20"/>
          <w:lang w:eastAsia="zh-CN" w:bidi="hi-IN"/>
        </w:rPr>
      </w:pPr>
      <w:r>
        <w:rPr>
          <w:rFonts w:eastAsia="NSimSun" w:cs="Arial" w:ascii="Open Sans" w:hAnsi="Open Sans"/>
          <w:kern w:val="2"/>
          <w:sz w:val="20"/>
          <w:szCs w:val="20"/>
          <w:lang w:eastAsia="zh-CN" w:bidi="hi-IN"/>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6.- Clasificaciones</w:t>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r>
    </w:p>
    <w:p>
      <w:pPr>
        <w:pStyle w:val="Normal"/>
        <w:widowControl w:val="false"/>
        <w:suppressAutoHyphens w:val="true"/>
        <w:spacing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6.1- Se harán las siguientes clasificaciones:</w:t>
      </w:r>
    </w:p>
    <w:p>
      <w:pPr>
        <w:pStyle w:val="Normal"/>
        <w:widowControl w:val="false"/>
        <w:suppressAutoHyphens w:val="true"/>
        <w:spacing w:before="113" w:after="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a) Clasificación masculina. Total puntos conseguidos en pruebas individuales y relevos masculinos.</w:t>
      </w:r>
    </w:p>
    <w:p>
      <w:pPr>
        <w:pStyle w:val="Normal"/>
        <w:widowControl w:val="false"/>
        <w:suppressAutoHyphens w:val="true"/>
        <w:spacing w:before="113" w:after="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b) Clasificación femenina. Total puntos conseguidos en pruebas individuales y relevos femeninos.</w:t>
      </w:r>
    </w:p>
    <w:p>
      <w:pPr>
        <w:pStyle w:val="Normal"/>
        <w:widowControl w:val="false"/>
        <w:suppressAutoHyphens w:val="true"/>
        <w:spacing w:before="113" w:after="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c) Clasificación total. Total puntos de la suma de la clasificación masculina y femenina</w:t>
      </w:r>
    </w:p>
    <w:p>
      <w:pPr>
        <w:pStyle w:val="Normal"/>
        <w:widowControl w:val="false"/>
        <w:suppressAutoHyphens w:val="true"/>
        <w:spacing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El club que obtenga mayor puntuación será proclamado Campeón Gallego Alevín de Invierno.</w:t>
      </w:r>
    </w:p>
    <w:p>
      <w:pPr>
        <w:pStyle w:val="Normal"/>
        <w:widowControl w:val="false"/>
        <w:suppressAutoHyphens w:val="true"/>
        <w:spacing w:lineRule="auto" w:line="276"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color w:val="002060"/>
          <w:spacing w:val="10"/>
          <w:kern w:val="2"/>
          <w:sz w:val="30"/>
          <w:szCs w:val="20"/>
          <w:lang w:val="gl-ES" w:eastAsia="zh-CN" w:bidi="gl-ES"/>
        </w:rPr>
      </w:pPr>
      <w:r>
        <w:rPr>
          <w:rFonts w:eastAsia="Sanford, Calibri" w:cs="Sanford, Calibri" w:ascii="Open Sans" w:hAnsi="Open Sans"/>
          <w:bCs/>
          <w:color w:val="002060"/>
          <w:spacing w:val="10"/>
          <w:kern w:val="2"/>
          <w:sz w:val="30"/>
          <w:szCs w:val="20"/>
          <w:lang w:val="gl-ES" w:eastAsia="zh-CN" w:bidi="gl-ES"/>
        </w:rPr>
        <w:t>7.- Títulos y premios</w:t>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spacing w:val="10"/>
          <w:kern w:val="2"/>
          <w:sz w:val="20"/>
          <w:szCs w:val="20"/>
          <w:lang w:val="gl-ES" w:eastAsia="zh-CN" w:bidi="gl-ES"/>
        </w:rPr>
      </w:pPr>
      <w:r>
        <w:rPr>
          <w:rFonts w:eastAsia="Sanford, Calibri" w:cs="Sanford, Calibri" w:ascii="Open Sans" w:hAnsi="Open Sans"/>
          <w:bCs/>
          <w:spacing w:val="10"/>
          <w:kern w:val="2"/>
          <w:sz w:val="20"/>
          <w:szCs w:val="20"/>
          <w:lang w:val="gl-ES" w:eastAsia="zh-CN" w:bidi="gl-ES"/>
        </w:rPr>
      </w:r>
    </w:p>
    <w:p>
      <w:pPr>
        <w:pStyle w:val="Normal"/>
        <w:widowControl w:val="false"/>
        <w:suppressAutoHyphens w:val="true"/>
        <w:spacing w:before="113" w:after="0"/>
        <w:ind w:left="-709" w:hanging="0"/>
        <w:textAlignment w:val="baseline"/>
        <w:rPr>
          <w:rFonts w:ascii="Open Sans" w:hAnsi="Open Sans" w:eastAsia="DejaVu Sans" w:cs="Tahoma"/>
          <w:kern w:val="2"/>
          <w:sz w:val="20"/>
          <w:szCs w:val="20"/>
          <w:lang w:val="gl-ES" w:eastAsia="zh-CN" w:bidi="gl-ES"/>
        </w:rPr>
      </w:pPr>
      <w:r>
        <w:rPr>
          <w:rFonts w:eastAsia="Eurasia, Calibri" w:cs="Eurasia, Calibri" w:ascii="Open Sans" w:hAnsi="Open Sans"/>
          <w:kern w:val="2"/>
          <w:sz w:val="20"/>
          <w:szCs w:val="20"/>
          <w:lang w:val="gl-ES" w:eastAsia="zh-CN" w:bidi="gl-ES"/>
        </w:rPr>
        <w:t>7.1.- Se entregarán medallas a los tres primeros clasificados en cada prueba masculina y femenina por edad y sexo.</w:t>
      </w:r>
    </w:p>
    <w:p>
      <w:pPr>
        <w:pStyle w:val="Normal"/>
        <w:widowControl w:val="false"/>
        <w:suppressAutoHyphens w:val="true"/>
        <w:spacing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Medalla los tres primeros clasificados en las categorías de discapacidad funcional y/o visual según el criterio que figura en las normativas del Comité Parolímpico Internacional de Natación (IPC Swimming). (Se puede descargar la normativa desde lo apartado de circulares de la FEGAN)</w:t>
      </w:r>
    </w:p>
    <w:p>
      <w:pPr>
        <w:pStyle w:val="Normal"/>
        <w:widowControl w:val="false"/>
        <w:suppressAutoHyphens w:val="true"/>
        <w:spacing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7.2.- Trofeos a los clubes campeones en cada una de las clasificaciones indicadas en la presente normativa (Punto 6)</w:t>
      </w:r>
    </w:p>
    <w:p>
      <w:pPr>
        <w:pStyle w:val="Normal"/>
        <w:widowControl w:val="false"/>
        <w:suppressAutoHyphens w:val="true"/>
        <w:spacing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r>
    </w:p>
    <w:p>
      <w:pPr>
        <w:pStyle w:val="Normal"/>
        <w:numPr>
          <w:ilvl w:val="0"/>
          <w:numId w:val="0"/>
        </w:numPr>
        <w:suppressAutoHyphens w:val="true"/>
        <w:spacing w:lineRule="auto" w:line="276" w:before="113" w:after="0"/>
        <w:ind w:left="-709" w:hanging="1"/>
        <w:jc w:val="left"/>
        <w:textAlignment w:val="baseline"/>
        <w:outlineLvl w:val="0"/>
        <w:rPr>
          <w:rFonts w:ascii="Open Sans" w:hAnsi="Open Sans" w:eastAsia="Sanford, Calibri" w:cs="Open Sans"/>
          <w:bCs/>
          <w:color w:val="002060"/>
          <w:spacing w:val="10"/>
          <w:kern w:val="2"/>
          <w:sz w:val="30"/>
          <w:szCs w:val="28"/>
          <w:lang w:val="gl-ES" w:eastAsia="zh-CN" w:bidi="es-ES"/>
          <w14:ligatures w14:val="standardContextual"/>
        </w:rPr>
      </w:pPr>
      <w:r>
        <w:rPr>
          <w:rFonts w:eastAsia="Sanford, Calibri" w:cs="Open Sans" w:ascii="Open Sans" w:hAnsi="Open Sans"/>
          <w:bCs/>
          <w:color w:val="002060"/>
          <w:spacing w:val="10"/>
          <w:kern w:val="2"/>
          <w:sz w:val="30"/>
          <w:szCs w:val="28"/>
          <w:lang w:val="gl-ES" w:eastAsia="zh-CN" w:bidi="es-ES"/>
          <w14:ligatures w14:val="standardContextual"/>
        </w:rPr>
        <w:t>8.- Marcas Mínimas</w:t>
      </w:r>
    </w:p>
    <w:p>
      <w:pPr>
        <w:pStyle w:val="Normal"/>
        <w:suppressAutoHyphens w:val="true"/>
        <w:spacing w:before="113" w:after="0"/>
        <w:ind w:left="-709" w:hanging="1"/>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8.1.- Serán las indicadas en la circular de marcas mínimas para la presente temporada para las categorías referidas al presente campeonato.</w:t>
      </w:r>
    </w:p>
    <w:p>
      <w:pPr>
        <w:pStyle w:val="Normal"/>
        <w:suppressAutoHyphens w:val="true"/>
        <w:spacing w:before="113" w:after="0"/>
        <w:ind w:left="-709" w:hanging="1"/>
        <w:textAlignment w:val="baseline"/>
        <w:rPr>
          <w:rFonts w:ascii="Open Sans" w:hAnsi="Open Sans" w:eastAsia="DejaVu Sans" w:cs="Tahoma"/>
          <w:color w:val="000000" w:themeColor="text1"/>
          <w:kern w:val="2"/>
          <w:sz w:val="17"/>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8.2.- Las marcas en pruebas individuales serán válidas desde el 1 de octubre del 2023</w:t>
      </w:r>
    </w:p>
    <w:p>
      <w:pPr>
        <w:pStyle w:val="Normal"/>
        <w:suppressAutoHyphens w:val="true"/>
        <w:spacing w:before="113" w:after="0"/>
        <w:ind w:left="-709" w:hanging="1"/>
        <w:textAlignment w:val="baseline"/>
        <w:rPr>
          <w:rFonts w:ascii="Open Sans" w:hAnsi="Open Sans" w:eastAsia="DejaVu Sans" w:cs="Tahoma"/>
          <w:color w:val="000000" w:themeColor="text1"/>
          <w:kern w:val="2"/>
          <w:sz w:val="20"/>
          <w:szCs w:val="20"/>
          <w:lang w:val="gl-ES" w:eastAsia="zh-CN" w:bidi="gl-ES"/>
          <w14:ligatures w14:val="standardContextual"/>
        </w:rPr>
      </w:pPr>
      <w:r>
        <w:rPr>
          <w:rFonts w:eastAsia="DejaVu Sans" w:cs="Tahoma" w:ascii="Open Sans" w:hAnsi="Open Sans"/>
          <w:color w:val="000000" w:themeColor="text1"/>
          <w:kern w:val="2"/>
          <w:sz w:val="20"/>
          <w:szCs w:val="20"/>
          <w:lang w:val="gl-ES" w:eastAsia="zh-CN" w:bidi="gl-ES"/>
          <w14:ligatures w14:val="standardContextual"/>
        </w:rPr>
        <w:t>8.3.- Las marcas para las sumas de tiempos en los diferentes relevos serán válidas desde 1 de octubre del 2023</w:t>
      </w:r>
    </w:p>
    <w:p>
      <w:pPr>
        <w:pStyle w:val="Normal"/>
        <w:suppressAutoHyphens w:val="true"/>
        <w:spacing w:before="113" w:after="0"/>
        <w:ind w:left="-709" w:hanging="1"/>
        <w:textAlignment w:val="baseline"/>
        <w:rPr>
          <w:rFonts w:ascii="Open Sans" w:hAnsi="Open Sans" w:eastAsia="DejaVu Sans" w:cs="Tahoma"/>
          <w:color w:val="000000" w:themeColor="text1"/>
          <w:kern w:val="2"/>
          <w:sz w:val="20"/>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8.4.- Las marcas de relevos, serán validas desde el 1 de octubre del 2023</w:t>
      </w:r>
    </w:p>
    <w:p>
      <w:pPr>
        <w:pStyle w:val="Normal"/>
        <w:suppressAutoHyphens w:val="true"/>
        <w:spacing w:before="113" w:after="0"/>
        <w:ind w:left="-709" w:hanging="1"/>
        <w:textAlignment w:val="baseline"/>
        <w:rPr>
          <w:rFonts w:ascii="Open Sans" w:hAnsi="Open Sans" w:eastAsia="DejaVu Sans" w:cs="Tahoma"/>
          <w:color w:val="000000" w:themeColor="text1"/>
          <w:kern w:val="2"/>
          <w:sz w:val="20"/>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r>
    </w:p>
    <w:p>
      <w:pPr>
        <w:pStyle w:val="Normal"/>
        <w:suppressAutoHyphens w:val="true"/>
        <w:spacing w:before="113" w:after="0"/>
        <w:ind w:left="-709" w:hanging="1"/>
        <w:textAlignment w:val="baseline"/>
        <w:rPr>
          <w:rFonts w:ascii="Open Sans" w:hAnsi="Open Sans" w:eastAsia="DejaVu Sans" w:cs="Tahoma"/>
          <w:color w:val="000000" w:themeColor="text1"/>
          <w:kern w:val="2"/>
          <w:sz w:val="20"/>
          <w:szCs w:val="24"/>
          <w:lang w:val="gl-ES" w:eastAsia="zh-CN" w:bidi="gl-ES"/>
          <w14:ligatures w14:val="standardContextual"/>
        </w:rPr>
      </w:pPr>
      <w:r>
        <w:rPr>
          <w:rFonts w:eastAsia="Sanford, Calibri" w:cs="Sanford, Calibri" w:ascii="Open Sans" w:hAnsi="Open Sans"/>
          <w:bCs/>
          <w:color w:val="002060"/>
          <w:spacing w:val="10"/>
          <w:kern w:val="2"/>
          <w:sz w:val="30"/>
          <w:szCs w:val="30"/>
          <w:lang w:val="gl-ES" w:eastAsia="zh-CN" w:bidi="gl-ES"/>
          <w14:ligatures w14:val="standardContextual"/>
        </w:rPr>
        <w:t>9.- Nota final</w:t>
      </w:r>
    </w:p>
    <w:p>
      <w:pPr>
        <w:pStyle w:val="Normal"/>
        <w:suppressAutoHyphens w:val="true"/>
        <w:spacing w:before="113" w:after="0"/>
        <w:ind w:left="-709" w:hanging="1"/>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En el no previsto en la presente normativa se estará al dispuesto en el artículo 10 del capítulo 3º del título II del libro X del “ Reglamento general” de la RFEN, y en su caso, al dispuesto en las normas FINA.</w:t>
      </w:r>
    </w:p>
    <w:p>
      <w:pPr>
        <w:pStyle w:val="Normal"/>
        <w:widowControl w:val="false"/>
        <w:suppressAutoHyphens w:val="true"/>
        <w:spacing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r>
    </w:p>
    <w:p>
      <w:pPr>
        <w:pStyle w:val="Normal"/>
        <w:widowControl w:val="false"/>
        <w:suppressAutoHyphens w:val="true"/>
        <w:spacing w:lineRule="auto" w:line="276" w:before="113" w:after="0"/>
        <w:ind w:left="-709" w:hanging="0"/>
        <w:jc w:val="center"/>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A Coruña, mayo 2024</w:t>
      </w:r>
      <w:r>
        <w:br w:type="page"/>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spacing w:val="10"/>
          <w:kern w:val="2"/>
          <w:sz w:val="20"/>
          <w:szCs w:val="20"/>
          <w:lang w:val="gl-ES" w:eastAsia="zh-CN" w:bidi="gl-ES"/>
        </w:rPr>
      </w:pPr>
      <w:r>
        <w:rPr>
          <w:rFonts w:eastAsia="Sanford, Calibri" w:cs="Sanford, Calibri" w:ascii="Open Sans" w:hAnsi="Open Sans"/>
          <w:bCs/>
          <w:spacing w:val="10"/>
          <w:kern w:val="2"/>
          <w:sz w:val="20"/>
          <w:szCs w:val="20"/>
          <w:lang w:val="gl-ES" w:eastAsia="zh-CN" w:bidi="gl-ES"/>
        </w:rPr>
        <w:t>Anexo I</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PRUEBAS</w:t>
      </w:r>
      <w:r>
        <w:rPr>
          <w:rFonts w:eastAsia="Eurasia, Calibri" w:cs="Eurasia, Calibri" w:ascii="Open Sans" w:hAnsi="Open Sans"/>
          <w:color w:val="000000"/>
          <w:kern w:val="2"/>
          <w:sz w:val="20"/>
          <w:szCs w:val="20"/>
          <w:lang w:val="gl-ES" w:eastAsia="zh-CN" w:bidi="gl-ES"/>
        </w:rPr>
        <w:t xml:space="preserve"> Y </w:t>
      </w:r>
      <w:r>
        <w:rPr>
          <w:rFonts w:eastAsia="DejaVu Sans" w:cs="Tahoma" w:ascii="Open Sans" w:hAnsi="Open Sans"/>
          <w:color w:val="000000"/>
          <w:kern w:val="2"/>
          <w:sz w:val="20"/>
          <w:szCs w:val="20"/>
          <w:lang w:val="gl-ES" w:eastAsia="zh-CN" w:bidi="gl-ES"/>
        </w:rPr>
        <w:t>CATEGORÍAS</w:t>
      </w:r>
    </w:p>
    <w:p>
      <w:pPr>
        <w:pStyle w:val="Normal"/>
        <w:widowControl w:val="false"/>
        <w:suppressAutoHyphens w:val="true"/>
        <w:spacing w:lineRule="auto" w:line="276"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Las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pruebas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para</w:t>
      </w:r>
      <w:r>
        <w:rPr>
          <w:rFonts w:eastAsia="Eurasia, Calibri" w:cs="Eurasia, Calibri" w:ascii="Open Sans" w:hAnsi="Open Sans"/>
          <w:color w:val="000000"/>
          <w:kern w:val="2"/>
          <w:sz w:val="20"/>
          <w:szCs w:val="20"/>
          <w:lang w:val="gl-ES" w:eastAsia="zh-CN" w:bidi="gl-ES"/>
        </w:rPr>
        <w:t xml:space="preserve"> l</w:t>
      </w:r>
      <w:r>
        <w:rPr>
          <w:rFonts w:eastAsia="DejaVu Sans" w:cs="Tahoma" w:ascii="Open Sans" w:hAnsi="Open Sans"/>
          <w:color w:val="000000"/>
          <w:kern w:val="2"/>
          <w:sz w:val="20"/>
          <w:szCs w:val="20"/>
          <w:lang w:val="gl-ES" w:eastAsia="zh-CN" w:bidi="gl-ES"/>
        </w:rPr>
        <w:t>os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nadadores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con</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discapacidade</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funcional</w:t>
      </w:r>
      <w:r>
        <w:rPr>
          <w:rFonts w:eastAsia="Eurasia, Calibri" w:cs="Eurasia, Calibri" w:ascii="Open Sans" w:hAnsi="Open Sans"/>
          <w:color w:val="000000"/>
          <w:kern w:val="2"/>
          <w:sz w:val="20"/>
          <w:szCs w:val="20"/>
          <w:lang w:val="gl-ES" w:eastAsia="zh-CN" w:bidi="gl-ES"/>
        </w:rPr>
        <w:t xml:space="preserve"> y/</w:t>
      </w:r>
      <w:r>
        <w:rPr>
          <w:rFonts w:eastAsia="DejaVu Sans" w:cs="Tahoma" w:ascii="Open Sans" w:hAnsi="Open Sans"/>
          <w:color w:val="000000"/>
          <w:kern w:val="2"/>
          <w:sz w:val="20"/>
          <w:szCs w:val="20"/>
          <w:lang w:val="gl-ES" w:eastAsia="zh-CN" w:bidi="gl-ES"/>
        </w:rPr>
        <w:t>ou</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visual</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son</w:t>
      </w:r>
      <w:r>
        <w:rPr>
          <w:rFonts w:eastAsia="Eurasia, Calibri" w:cs="Eurasia, Calibri" w:ascii="Open Sans" w:hAnsi="Open Sans"/>
          <w:color w:val="000000"/>
          <w:kern w:val="2"/>
          <w:sz w:val="20"/>
          <w:szCs w:val="20"/>
          <w:lang w:val="gl-ES" w:eastAsia="zh-CN" w:bidi="gl-ES"/>
        </w:rPr>
        <w:t>:</w:t>
      </w:r>
    </w:p>
    <w:tbl>
      <w:tblPr>
        <w:tblpPr w:vertAnchor="page" w:horzAnchor="page" w:leftFromText="141" w:rightFromText="141" w:tblpX="1146" w:tblpY="2536"/>
        <w:tblW w:w="8174" w:type="dxa"/>
        <w:jc w:val="left"/>
        <w:tblInd w:w="55" w:type="dxa"/>
        <w:tblCellMar>
          <w:top w:w="55" w:type="dxa"/>
          <w:left w:w="55" w:type="dxa"/>
          <w:bottom w:w="55" w:type="dxa"/>
          <w:right w:w="55" w:type="dxa"/>
        </w:tblCellMar>
        <w:tblLook w:firstRow="0" w:noVBand="0" w:lastRow="0" w:firstColumn="0" w:lastColumn="0" w:noHBand="0" w:val="0000"/>
      </w:tblPr>
      <w:tblGrid>
        <w:gridCol w:w="1344"/>
        <w:gridCol w:w="1346"/>
        <w:gridCol w:w="1344"/>
        <w:gridCol w:w="1346"/>
        <w:gridCol w:w="1344"/>
        <w:gridCol w:w="1449"/>
      </w:tblGrid>
      <w:tr>
        <w:trPr>
          <w:trHeight w:val="302" w:hRule="atLeast"/>
        </w:trPr>
        <w:tc>
          <w:tcPr>
            <w:tcW w:w="1344" w:type="dxa"/>
            <w:tcBorders>
              <w:top w:val="single" w:sz="2" w:space="0" w:color="000000"/>
              <w:left w:val="single" w:sz="2" w:space="0" w:color="000000"/>
              <w:bottom w:val="single" w:sz="2" w:space="0" w:color="000000"/>
            </w:tcBorders>
            <w:shd w:fill="auto" w:val="clear"/>
            <w:vAlign w:val="center"/>
          </w:tcPr>
          <w:p>
            <w:pPr>
              <w:pStyle w:val="Normal"/>
              <w:widowControl w:val="false"/>
              <w:suppressLineNumbers/>
              <w:suppressAutoHyphens w:val="true"/>
              <w:snapToGrid w:val="false"/>
              <w:spacing w:lineRule="auto" w:line="276"/>
              <w:jc w:val="center"/>
              <w:textAlignment w:val="baseline"/>
              <w:rPr/>
            </w:pPr>
            <w:r>
              <w:rPr>
                <w:rFonts w:eastAsia="Eurasia, Calibri" w:cs="Open Sans" w:ascii="Open Sans" w:hAnsi="Open Sans"/>
                <w:b/>
                <w:bCs/>
                <w:kern w:val="2"/>
                <w:sz w:val="16"/>
                <w:szCs w:val="16"/>
                <w:lang w:val="gl-ES" w:eastAsia="zh-CN" w:bidi="es-ES"/>
              </w:rPr>
              <w:t>100</w:t>
            </w:r>
            <w:r>
              <w:rPr>
                <w:rFonts w:eastAsia="Open Sans" w:cs="Open Sans" w:ascii="Open Sans" w:hAnsi="Open Sans"/>
                <w:b/>
                <w:bCs/>
                <w:kern w:val="2"/>
                <w:sz w:val="16"/>
                <w:szCs w:val="16"/>
                <w:lang w:val="gl-ES" w:eastAsia="zh-CN" w:bidi="es-ES"/>
              </w:rPr>
              <w:t>L</w:t>
            </w:r>
          </w:p>
        </w:tc>
        <w:tc>
          <w:tcPr>
            <w:tcW w:w="1346"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r>
              <w:rPr>
                <w:rFonts w:eastAsia="Eurasia, Calibri" w:cs="Open Sans" w:ascii="Open Sans" w:hAnsi="Open Sans"/>
                <w:b/>
                <w:bCs/>
                <w:kern w:val="2"/>
                <w:sz w:val="16"/>
                <w:szCs w:val="16"/>
                <w:lang w:val="gl-ES" w:eastAsia="zh-CN" w:bidi="es-ES"/>
              </w:rPr>
              <w:t>200</w:t>
            </w:r>
            <w:r>
              <w:rPr>
                <w:rFonts w:eastAsia="Open Sans" w:cs="Open Sans" w:ascii="Open Sans" w:hAnsi="Open Sans"/>
                <w:b/>
                <w:bCs/>
                <w:kern w:val="2"/>
                <w:sz w:val="16"/>
                <w:szCs w:val="16"/>
                <w:lang w:val="gl-ES" w:eastAsia="zh-CN" w:bidi="es-ES"/>
              </w:rPr>
              <w:t>L</w:t>
            </w:r>
          </w:p>
        </w:tc>
        <w:tc>
          <w:tcPr>
            <w:tcW w:w="1344"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r>
              <w:rPr>
                <w:rFonts w:eastAsia="Eurasia, Calibri" w:cs="Open Sans" w:ascii="Open Sans" w:hAnsi="Open Sans"/>
                <w:b/>
                <w:bCs/>
                <w:kern w:val="2"/>
                <w:sz w:val="16"/>
                <w:szCs w:val="16"/>
                <w:lang w:val="gl-ES" w:eastAsia="zh-CN" w:bidi="es-ES"/>
              </w:rPr>
              <w:t>100</w:t>
            </w:r>
            <w:r>
              <w:rPr>
                <w:rFonts w:eastAsia="Open Sans" w:cs="Open Sans" w:ascii="Open Sans" w:hAnsi="Open Sans"/>
                <w:b/>
                <w:bCs/>
                <w:kern w:val="2"/>
                <w:sz w:val="16"/>
                <w:szCs w:val="16"/>
                <w:lang w:val="gl-ES" w:eastAsia="zh-CN" w:bidi="es-ES"/>
              </w:rPr>
              <w:t>E</w:t>
            </w:r>
          </w:p>
        </w:tc>
        <w:tc>
          <w:tcPr>
            <w:tcW w:w="1346"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r>
              <w:rPr>
                <w:rFonts w:eastAsia="Eurasia, Calibri" w:cs="Open Sans" w:ascii="Open Sans" w:hAnsi="Open Sans"/>
                <w:b/>
                <w:bCs/>
                <w:kern w:val="2"/>
                <w:sz w:val="16"/>
                <w:szCs w:val="16"/>
                <w:lang w:val="gl-ES" w:eastAsia="zh-CN" w:bidi="es-ES"/>
              </w:rPr>
              <w:t>100</w:t>
            </w:r>
            <w:r>
              <w:rPr>
                <w:rFonts w:eastAsia="Open Sans" w:cs="Open Sans" w:ascii="Open Sans" w:hAnsi="Open Sans"/>
                <w:b/>
                <w:bCs/>
                <w:kern w:val="2"/>
                <w:sz w:val="16"/>
                <w:szCs w:val="16"/>
                <w:lang w:val="gl-ES" w:eastAsia="zh-CN" w:bidi="es-ES"/>
              </w:rPr>
              <w:t>B</w:t>
            </w:r>
          </w:p>
        </w:tc>
        <w:tc>
          <w:tcPr>
            <w:tcW w:w="1344"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r>
              <w:rPr>
                <w:rFonts w:eastAsia="Eurasia, Calibri" w:cs="Open Sans" w:ascii="Open Sans" w:hAnsi="Open Sans"/>
                <w:b/>
                <w:bCs/>
                <w:kern w:val="2"/>
                <w:sz w:val="16"/>
                <w:szCs w:val="16"/>
                <w:lang w:val="gl-ES" w:eastAsia="zh-CN" w:bidi="es-ES"/>
              </w:rPr>
              <w:t>100</w:t>
            </w:r>
            <w:r>
              <w:rPr>
                <w:rFonts w:eastAsia="Open Sans" w:cs="Open Sans" w:ascii="Open Sans" w:hAnsi="Open Sans"/>
                <w:b/>
                <w:bCs/>
                <w:kern w:val="2"/>
                <w:sz w:val="16"/>
                <w:szCs w:val="16"/>
                <w:lang w:val="gl-ES" w:eastAsia="zh-CN" w:bidi="es-ES"/>
              </w:rPr>
              <w:t>M</w:t>
            </w:r>
          </w:p>
        </w:tc>
        <w:tc>
          <w:tcPr>
            <w:tcW w:w="1449" w:type="dxa"/>
            <w:tcBorders>
              <w:top w:val="single" w:sz="2" w:space="0" w:color="000000"/>
              <w:left w:val="single" w:sz="2" w:space="0" w:color="000000"/>
              <w:bottom w:val="single" w:sz="2" w:space="0" w:color="000000"/>
              <w:right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r>
              <w:rPr>
                <w:rFonts w:eastAsia="Eurasia, Calibri" w:cs="Open Sans" w:ascii="Open Sans" w:hAnsi="Open Sans"/>
                <w:b/>
                <w:bCs/>
                <w:kern w:val="2"/>
                <w:sz w:val="16"/>
                <w:szCs w:val="16"/>
                <w:lang w:val="gl-ES" w:eastAsia="zh-CN" w:bidi="es-ES"/>
              </w:rPr>
              <w:t>200</w:t>
            </w:r>
            <w:r>
              <w:rPr>
                <w:rFonts w:eastAsia="Open Sans" w:cs="Open Sans" w:ascii="Open Sans" w:hAnsi="Open Sans"/>
                <w:b/>
                <w:bCs/>
                <w:kern w:val="2"/>
                <w:sz w:val="16"/>
                <w:szCs w:val="16"/>
                <w:lang w:val="gl-ES" w:eastAsia="zh-CN" w:bidi="es-ES"/>
              </w:rPr>
              <w:t>S</w:t>
            </w:r>
          </w:p>
        </w:tc>
      </w:tr>
      <w:tr>
        <w:trPr>
          <w:trHeight w:val="302" w:hRule="atLeast"/>
        </w:trPr>
        <w:tc>
          <w:tcPr>
            <w:tcW w:w="1344" w:type="dxa"/>
            <w:tcBorders>
              <w:left w:val="single" w:sz="2" w:space="0" w:color="000000"/>
              <w:bottom w:val="single" w:sz="2" w:space="0" w:color="000000"/>
            </w:tcBorders>
            <w:shd w:fill="auto" w:val="clear"/>
            <w:vAlign w:val="center"/>
          </w:tcPr>
          <w:p>
            <w:pPr>
              <w:pStyle w:val="Normal"/>
              <w:widowControl w:val="false"/>
              <w:suppressLineNumbers/>
              <w:suppressAutoHyphens w:val="true"/>
              <w:snapToGrid w:val="false"/>
              <w:spacing w:lineRule="auto" w:line="276"/>
              <w:jc w:val="center"/>
              <w:textAlignment w:val="baseline"/>
              <w:rPr/>
            </w:pPr>
            <w:bookmarkStart w:id="4" w:name="__UnoMark__1102_40524513371"/>
            <w:bookmarkStart w:id="5" w:name="__UnoMark__647_528739526"/>
            <w:bookmarkEnd w:id="4"/>
            <w:bookmarkEnd w:id="5"/>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13</w:t>
            </w:r>
            <w:bookmarkStart w:id="6" w:name="__UnoMark__1103_40524513371"/>
            <w:bookmarkStart w:id="7" w:name="__UnoMark__649_528739526"/>
            <w:bookmarkEnd w:id="6"/>
            <w:bookmarkEnd w:id="7"/>
          </w:p>
        </w:tc>
        <w:tc>
          <w:tcPr>
            <w:tcW w:w="1346"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bookmarkStart w:id="8" w:name="__UnoMark__1104_40524513371"/>
            <w:bookmarkStart w:id="9" w:name="__UnoMark__651_528739526"/>
            <w:bookmarkEnd w:id="8"/>
            <w:bookmarkEnd w:id="9"/>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2-</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13</w:t>
            </w:r>
            <w:bookmarkStart w:id="10" w:name="__UnoMark__1105_40524513371"/>
            <w:bookmarkStart w:id="11" w:name="__UnoMark__653_528739526"/>
            <w:bookmarkEnd w:id="10"/>
            <w:bookmarkEnd w:id="11"/>
          </w:p>
        </w:tc>
        <w:tc>
          <w:tcPr>
            <w:tcW w:w="1344"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bookmarkStart w:id="12" w:name="__UnoMark__1106_40524513371"/>
            <w:bookmarkStart w:id="13" w:name="__UnoMark__655_528739526"/>
            <w:bookmarkEnd w:id="12"/>
            <w:bookmarkEnd w:id="13"/>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13</w:t>
            </w:r>
            <w:bookmarkStart w:id="14" w:name="__UnoMark__1107_40524513371"/>
            <w:bookmarkStart w:id="15" w:name="__UnoMark__657_528739526"/>
            <w:bookmarkEnd w:id="14"/>
            <w:bookmarkEnd w:id="15"/>
          </w:p>
        </w:tc>
        <w:tc>
          <w:tcPr>
            <w:tcW w:w="1346"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bookmarkStart w:id="16" w:name="__UnoMark__1108_40524513371"/>
            <w:bookmarkStart w:id="17" w:name="__UnoMark__659_528739526"/>
            <w:bookmarkEnd w:id="16"/>
            <w:bookmarkEnd w:id="17"/>
            <w:r>
              <w:rPr>
                <w:rFonts w:eastAsia="Open Sans" w:cs="Open Sans" w:ascii="Open Sans" w:hAnsi="Open Sans"/>
                <w:kern w:val="2"/>
                <w:sz w:val="16"/>
                <w:szCs w:val="16"/>
                <w:lang w:val="gl-ES" w:eastAsia="zh-CN" w:bidi="es-ES"/>
              </w:rPr>
              <w:t>S2</w:t>
            </w:r>
            <w:r>
              <w:rPr>
                <w:rFonts w:eastAsia="Eurasia, Calibri" w:cs="Open Sans" w:ascii="Open Sans" w:hAnsi="Open Sans"/>
                <w:kern w:val="2"/>
                <w:sz w:val="16"/>
                <w:szCs w:val="16"/>
                <w:lang w:val="gl-ES" w:eastAsia="zh-CN" w:bidi="es-ES"/>
              </w:rPr>
              <w:t>-</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9</w:t>
            </w:r>
          </w:p>
          <w:p>
            <w:pPr>
              <w:pStyle w:val="Normal"/>
              <w:widowControl w:val="false"/>
              <w:suppressLineNumbers/>
              <w:suppressAutoHyphens w:val="true"/>
              <w:snapToGrid w:val="false"/>
              <w:spacing w:lineRule="auto" w:line="276"/>
              <w:jc w:val="center"/>
              <w:textAlignment w:val="baseline"/>
              <w:rPr/>
            </w:pP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11-</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13</w:t>
            </w:r>
            <w:bookmarkStart w:id="18" w:name="__UnoMark__1109_40524513371"/>
            <w:bookmarkStart w:id="19" w:name="__UnoMark__661_528739526"/>
            <w:bookmarkEnd w:id="18"/>
            <w:bookmarkEnd w:id="19"/>
          </w:p>
        </w:tc>
        <w:tc>
          <w:tcPr>
            <w:tcW w:w="1344"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bookmarkStart w:id="20" w:name="__UnoMark__1110_40524513371"/>
            <w:bookmarkStart w:id="21" w:name="__UnoMark__663_528739526"/>
            <w:bookmarkEnd w:id="20"/>
            <w:bookmarkEnd w:id="21"/>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5-</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13</w:t>
            </w:r>
            <w:bookmarkStart w:id="22" w:name="__UnoMark__1111_40524513371"/>
            <w:bookmarkStart w:id="23" w:name="__UnoMark__665_528739526"/>
            <w:bookmarkEnd w:id="22"/>
            <w:bookmarkEnd w:id="23"/>
          </w:p>
        </w:tc>
        <w:tc>
          <w:tcPr>
            <w:tcW w:w="1449" w:type="dxa"/>
            <w:tcBorders>
              <w:left w:val="single" w:sz="2" w:space="0" w:color="000000"/>
              <w:bottom w:val="single" w:sz="2" w:space="0" w:color="000000"/>
              <w:right w:val="single" w:sz="2" w:space="0" w:color="000000"/>
            </w:tcBorders>
            <w:shd w:fill="auto" w:val="clear"/>
            <w:tcMar>
              <w:top w:w="0" w:type="dxa"/>
              <w:left w:w="10" w:type="dxa"/>
              <w:bottom w:w="0" w:type="dxa"/>
              <w:right w:w="10" w:type="dxa"/>
            </w:tcMar>
            <w:vAlign w:val="center"/>
          </w:tcPr>
          <w:p>
            <w:pPr>
              <w:pStyle w:val="Normal"/>
              <w:widowControl w:val="false"/>
              <w:suppressLineNumbers/>
              <w:suppressAutoHyphens w:val="true"/>
              <w:snapToGrid w:val="false"/>
              <w:spacing w:lineRule="auto" w:line="276"/>
              <w:jc w:val="center"/>
              <w:textAlignment w:val="baseline"/>
              <w:rPr/>
            </w:pPr>
            <w:bookmarkStart w:id="24" w:name="__UnoMark__1112_40524513371"/>
            <w:bookmarkStart w:id="25" w:name="__UnoMark__667_528739526"/>
            <w:bookmarkEnd w:id="24"/>
            <w:bookmarkEnd w:id="25"/>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3-</w:t>
            </w:r>
            <w:r>
              <w:rPr>
                <w:rFonts w:eastAsia="Open Sans" w:cs="Open Sans" w:ascii="Open Sans" w:hAnsi="Open Sans"/>
                <w:kern w:val="2"/>
                <w:sz w:val="16"/>
                <w:szCs w:val="16"/>
                <w:lang w:val="gl-ES" w:eastAsia="zh-CN" w:bidi="es-ES"/>
              </w:rPr>
              <w:t>S</w:t>
            </w:r>
            <w:r>
              <w:rPr>
                <w:rFonts w:eastAsia="Eurasia, Calibri" w:cs="Open Sans" w:ascii="Open Sans" w:hAnsi="Open Sans"/>
                <w:kern w:val="2"/>
                <w:sz w:val="16"/>
                <w:szCs w:val="16"/>
                <w:lang w:val="gl-ES" w:eastAsia="zh-CN" w:bidi="es-ES"/>
              </w:rPr>
              <w:t>13</w:t>
            </w:r>
          </w:p>
        </w:tc>
      </w:tr>
    </w:tbl>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spacing w:val="10"/>
          <w:kern w:val="2"/>
          <w:sz w:val="20"/>
          <w:szCs w:val="20"/>
          <w:lang w:val="gl-ES" w:eastAsia="zh-CN" w:bidi="gl-ES"/>
        </w:rPr>
      </w:pPr>
      <w:r>
        <w:rPr>
          <w:rFonts w:eastAsia="Sanford, Calibri" w:cs="Sanford, Calibri" w:ascii="Open Sans" w:hAnsi="Open Sans"/>
          <w:bCs/>
          <w:spacing w:val="10"/>
          <w:kern w:val="2"/>
          <w:sz w:val="20"/>
          <w:szCs w:val="20"/>
          <w:lang w:val="gl-ES" w:eastAsia="zh-CN" w:bidi="gl-ES"/>
        </w:rPr>
      </w:r>
    </w:p>
    <w:p>
      <w:pPr>
        <w:pStyle w:val="Normal"/>
        <w:widowControl w:val="false"/>
        <w:numPr>
          <w:ilvl w:val="0"/>
          <w:numId w:val="0"/>
        </w:numPr>
        <w:suppressAutoHyphens w:val="true"/>
        <w:spacing w:lineRule="auto" w:line="276" w:before="113" w:after="0"/>
        <w:ind w:left="-709" w:hanging="0"/>
        <w:textAlignment w:val="baseline"/>
        <w:outlineLvl w:val="0"/>
        <w:rPr>
          <w:rFonts w:ascii="Open Sans" w:hAnsi="Open Sans" w:eastAsia="Sanford, Calibri" w:cs="Sanford, Calibri"/>
          <w:bCs/>
          <w:spacing w:val="10"/>
          <w:kern w:val="2"/>
          <w:sz w:val="20"/>
          <w:szCs w:val="20"/>
          <w:lang w:val="gl-ES" w:eastAsia="zh-CN" w:bidi="gl-ES"/>
        </w:rPr>
      </w:pPr>
      <w:r>
        <w:rPr>
          <w:rFonts w:eastAsia="Sanford, Calibri" w:cs="Sanford, Calibri" w:ascii="Open Sans" w:hAnsi="Open Sans"/>
          <w:bCs/>
          <w:spacing w:val="10"/>
          <w:kern w:val="2"/>
          <w:sz w:val="20"/>
          <w:szCs w:val="20"/>
          <w:lang w:val="gl-ES" w:eastAsia="zh-CN" w:bidi="gl-ES"/>
        </w:rPr>
        <w:t>Anexo II</w:t>
      </w:r>
    </w:p>
    <w:p>
      <w:pPr>
        <w:pStyle w:val="Normal"/>
        <w:widowControl w:val="false"/>
        <w:suppressAutoHyphens w:val="true"/>
        <w:spacing w:lineRule="auto" w:line="276"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FIMEGA</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w:t>
      </w:r>
      <w:r>
        <w:rPr>
          <w:rFonts w:eastAsia="DejaVu Sans" w:cs="Tahoma" w:ascii="Open Sans" w:hAnsi="Open Sans"/>
          <w:color w:val="000000"/>
          <w:kern w:val="2"/>
          <w:sz w:val="20"/>
          <w:szCs w:val="20"/>
          <w:lang w:val="gl-ES" w:eastAsia="zh-CN" w:bidi="gl-ES"/>
        </w:rPr>
        <w:t>Dr</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Carlos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Alonso</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Hernández</w:t>
      </w:r>
      <w:r>
        <w:rPr>
          <w:rFonts w:eastAsia="Eurasia, Calibri" w:cs="Eurasia, Calibri" w:ascii="Open Sans" w:hAnsi="Open Sans"/>
          <w:color w:val="000000"/>
          <w:kern w:val="2"/>
          <w:sz w:val="20"/>
          <w:szCs w:val="20"/>
          <w:lang w:val="gl-ES" w:eastAsia="zh-CN" w:bidi="gl-ES"/>
        </w:rPr>
        <w:t>)</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Avda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Eduardo</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Pondal</w:t>
      </w:r>
      <w:r>
        <w:rPr>
          <w:rFonts w:eastAsia="Eurasia, Calibri" w:cs="Eurasia, Calibri" w:ascii="Open Sans" w:hAnsi="Open Sans"/>
          <w:color w:val="000000"/>
          <w:kern w:val="2"/>
          <w:sz w:val="20"/>
          <w:szCs w:val="20"/>
          <w:lang w:val="gl-ES" w:eastAsia="zh-CN" w:bidi="gl-ES"/>
        </w:rPr>
        <w:t xml:space="preserve">, 68 </w:t>
      </w:r>
      <w:r>
        <w:rPr>
          <w:rFonts w:eastAsia="DejaVu Sans" w:cs="Tahoma" w:ascii="Open Sans" w:hAnsi="Open Sans"/>
          <w:color w:val="000000"/>
          <w:kern w:val="2"/>
          <w:sz w:val="20"/>
          <w:szCs w:val="20"/>
          <w:lang w:val="gl-ES" w:eastAsia="zh-CN" w:bidi="gl-ES"/>
        </w:rPr>
        <w:t>bajo</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a</w:t>
      </w:r>
      <w:r>
        <w:rPr>
          <w:rFonts w:eastAsia="Eurasia, Calibri" w:cs="Eurasia, Calibri" w:ascii="Open Sans" w:hAnsi="Open Sans"/>
          <w:color w:val="000000"/>
          <w:kern w:val="2"/>
          <w:sz w:val="20"/>
          <w:szCs w:val="20"/>
          <w:lang w:val="gl-ES" w:eastAsia="zh-CN" w:bidi="gl-ES"/>
        </w:rPr>
        <w:t xml:space="preserve"> 200 </w:t>
      </w:r>
      <w:r>
        <w:rPr>
          <w:rFonts w:eastAsia="DejaVu Sans" w:cs="Tahoma" w:ascii="Open Sans" w:hAnsi="Open Sans"/>
          <w:color w:val="000000"/>
          <w:kern w:val="2"/>
          <w:sz w:val="20"/>
          <w:szCs w:val="20"/>
          <w:lang w:val="gl-ES" w:eastAsia="zh-CN" w:bidi="gl-ES"/>
        </w:rPr>
        <w:t>m</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Estación</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de</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Autobús</w:t>
      </w:r>
      <w:r>
        <w:rPr>
          <w:rFonts w:eastAsia="Eurasia, Calibri" w:cs="Eurasia, Calibri" w:ascii="Open Sans" w:hAnsi="Open Sans"/>
          <w:color w:val="000000"/>
          <w:kern w:val="2"/>
          <w:sz w:val="20"/>
          <w:szCs w:val="20"/>
          <w:lang w:val="gl-ES" w:eastAsia="zh-CN" w:bidi="gl-ES"/>
        </w:rPr>
        <w:t xml:space="preserve"> y </w:t>
      </w:r>
      <w:r>
        <w:rPr>
          <w:rFonts w:eastAsia="DejaVu Sans" w:cs="Tahoma" w:ascii="Open Sans" w:hAnsi="Open Sans"/>
          <w:color w:val="000000"/>
          <w:kern w:val="2"/>
          <w:sz w:val="20"/>
          <w:szCs w:val="20"/>
          <w:lang w:val="gl-ES" w:eastAsia="zh-CN" w:bidi="gl-ES"/>
        </w:rPr>
        <w:t>Tren</w:t>
      </w:r>
      <w:r>
        <w:rPr>
          <w:rFonts w:eastAsia="Eurasia, Calibri" w:cs="Eurasia, Calibri" w:ascii="Open Sans" w:hAnsi="Open Sans"/>
          <w:color w:val="000000"/>
          <w:kern w:val="2"/>
          <w:sz w:val="20"/>
          <w:szCs w:val="20"/>
          <w:lang w:val="gl-ES" w:eastAsia="zh-CN" w:bidi="gl-ES"/>
        </w:rPr>
        <w:t>)</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Pontevedra</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Teléfono</w:t>
      </w:r>
      <w:r>
        <w:rPr>
          <w:rFonts w:eastAsia="Eurasia, Calibri" w:cs="Eurasia, Calibri" w:ascii="Open Sans" w:hAnsi="Open Sans"/>
          <w:color w:val="000000"/>
          <w:kern w:val="2"/>
          <w:sz w:val="20"/>
          <w:szCs w:val="20"/>
          <w:lang w:val="gl-ES" w:eastAsia="zh-CN" w:bidi="gl-ES"/>
        </w:rPr>
        <w:t>: 986868544</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 xml:space="preserve">Es </w:t>
      </w:r>
      <w:r>
        <w:rPr>
          <w:rFonts w:eastAsia="DejaVu Sans" w:cs="Tahoma" w:ascii="Open Sans" w:hAnsi="Open Sans"/>
          <w:color w:val="000000"/>
          <w:kern w:val="2"/>
          <w:sz w:val="20"/>
          <w:szCs w:val="20"/>
          <w:lang w:val="gl-ES" w:eastAsia="zh-CN" w:bidi="gl-ES"/>
        </w:rPr>
        <w:t>necesario</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solicitar</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cita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previa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especificando</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que</w:t>
      </w:r>
      <w:r>
        <w:rPr>
          <w:rFonts w:eastAsia="Eurasia, Calibri" w:cs="Eurasia, Calibri" w:ascii="Open Sans" w:hAnsi="Open Sans"/>
          <w:color w:val="000000"/>
          <w:kern w:val="2"/>
          <w:sz w:val="20"/>
          <w:szCs w:val="20"/>
          <w:lang w:val="gl-ES" w:eastAsia="zh-CN" w:bidi="gl-ES"/>
        </w:rPr>
        <w:t xml:space="preserve"> es </w:t>
      </w:r>
      <w:r>
        <w:rPr>
          <w:rFonts w:eastAsia="DejaVu Sans" w:cs="Tahoma" w:ascii="Open Sans" w:hAnsi="Open Sans"/>
          <w:color w:val="000000"/>
          <w:kern w:val="2"/>
          <w:sz w:val="20"/>
          <w:szCs w:val="20"/>
          <w:lang w:val="gl-ES" w:eastAsia="zh-CN" w:bidi="gl-ES"/>
        </w:rPr>
        <w:t>para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una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valoración</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funcional</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para</w:t>
      </w:r>
      <w:r>
        <w:rPr>
          <w:rFonts w:eastAsia="Eurasia, Calibri" w:cs="Eurasia, Calibri" w:ascii="Open Sans" w:hAnsi="Open Sans"/>
          <w:color w:val="000000"/>
          <w:kern w:val="2"/>
          <w:sz w:val="20"/>
          <w:szCs w:val="20"/>
          <w:lang w:val="gl-ES" w:eastAsia="zh-CN" w:bidi="gl-ES"/>
        </w:rPr>
        <w:t xml:space="preserve"> l</w:t>
      </w:r>
      <w:r>
        <w:rPr>
          <w:rFonts w:eastAsia="DejaVu Sans" w:cs="Tahoma" w:ascii="Open Sans" w:hAnsi="Open Sans"/>
          <w:color w:val="000000"/>
          <w:kern w:val="2"/>
          <w:sz w:val="20"/>
          <w:szCs w:val="20"/>
          <w:lang w:val="gl-ES" w:eastAsia="zh-CN" w:bidi="gl-ES"/>
        </w:rPr>
        <w:t>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Federación</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Gallega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de</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Natación</w:t>
      </w:r>
      <w:r>
        <w:rPr>
          <w:rFonts w:eastAsia="Eurasia, Calibri" w:cs="Eurasia, Calibri" w:ascii="Open Sans" w:hAnsi="Open Sans"/>
          <w:color w:val="000000"/>
          <w:kern w:val="2"/>
          <w:sz w:val="20"/>
          <w:szCs w:val="20"/>
          <w:lang w:val="gl-ES" w:eastAsia="zh-CN" w:bidi="gl-ES"/>
        </w:rPr>
        <w:t>.</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 xml:space="preserve">El </w:t>
      </w:r>
      <w:r>
        <w:rPr>
          <w:rFonts w:eastAsia="DejaVu Sans" w:cs="Tahoma" w:ascii="Open Sans" w:hAnsi="Open Sans"/>
          <w:color w:val="000000"/>
          <w:kern w:val="2"/>
          <w:sz w:val="20"/>
          <w:szCs w:val="20"/>
          <w:lang w:val="gl-ES" w:eastAsia="zh-CN" w:bidi="gl-ES"/>
        </w:rPr>
        <w:t>c</w:t>
      </w:r>
      <w:r>
        <w:rPr>
          <w:rFonts w:eastAsia="Eurasia, Calibri" w:cs="Eurasia, Calibri" w:ascii="Open Sans" w:hAnsi="Open Sans"/>
          <w:color w:val="000000"/>
          <w:kern w:val="2"/>
          <w:sz w:val="20"/>
          <w:szCs w:val="20"/>
          <w:lang w:val="gl-ES" w:eastAsia="zh-CN" w:bidi="gl-ES"/>
        </w:rPr>
        <w:t xml:space="preserve">oste </w:t>
      </w:r>
      <w:r>
        <w:rPr>
          <w:rFonts w:eastAsia="DejaVu Sans" w:cs="Tahoma" w:ascii="Open Sans" w:hAnsi="Open Sans"/>
          <w:color w:val="000000"/>
          <w:kern w:val="2"/>
          <w:sz w:val="20"/>
          <w:szCs w:val="20"/>
          <w:lang w:val="gl-ES" w:eastAsia="zh-CN" w:bidi="gl-ES"/>
        </w:rPr>
        <w:t>de la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valoración</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correrá</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cargo</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del</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deportista</w:t>
      </w:r>
      <w:r>
        <w:rPr>
          <w:rFonts w:eastAsia="Eurasia, Calibri" w:cs="Eurasia, Calibri" w:ascii="Open Sans" w:hAnsi="Open Sans"/>
          <w:color w:val="000000"/>
          <w:kern w:val="2"/>
          <w:sz w:val="20"/>
          <w:szCs w:val="20"/>
          <w:lang w:val="gl-ES" w:eastAsia="zh-CN" w:bidi="gl-ES"/>
        </w:rPr>
        <w:t>.</w:t>
      </w:r>
    </w:p>
    <w:p>
      <w:pPr>
        <w:pStyle w:val="Normal"/>
        <w:widowControl w:val="false"/>
        <w:suppressAutoHyphens w:val="true"/>
        <w:spacing w:lineRule="auto" w:line="276" w:before="113" w:after="0"/>
        <w:ind w:left="-709" w:hanging="0"/>
        <w:textAlignment w:val="baseline"/>
        <w:rPr>
          <w:rFonts w:ascii="Open Sans" w:hAnsi="Open Sans" w:eastAsia="DejaVu Sans" w:cs="Tahoma"/>
          <w:color w:val="000000"/>
          <w:kern w:val="2"/>
          <w:sz w:val="20"/>
          <w:szCs w:val="20"/>
          <w:lang w:val="gl-ES" w:eastAsia="zh-CN" w:bidi="gl-ES"/>
        </w:rPr>
      </w:pPr>
      <w:r>
        <w:rPr>
          <w:rFonts w:eastAsia="DejaVu Sans" w:cs="Tahoma" w:ascii="Open Sans" w:hAnsi="Open Sans"/>
          <w:color w:val="000000"/>
          <w:kern w:val="2"/>
          <w:sz w:val="20"/>
          <w:szCs w:val="20"/>
          <w:lang w:val="gl-ES" w:eastAsia="zh-CN" w:bidi="gl-ES"/>
        </w:rPr>
        <w:t>Para</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facilitar</w:t>
      </w:r>
      <w:r>
        <w:rPr>
          <w:rFonts w:eastAsia="Eurasia, Calibri" w:cs="Eurasia, Calibri" w:ascii="Open Sans" w:hAnsi="Open Sans"/>
          <w:color w:val="000000"/>
          <w:kern w:val="2"/>
          <w:sz w:val="20"/>
          <w:szCs w:val="20"/>
          <w:lang w:val="gl-ES" w:eastAsia="zh-CN" w:bidi="gl-ES"/>
        </w:rPr>
        <w:t xml:space="preserve"> l</w:t>
      </w:r>
      <w:r>
        <w:rPr>
          <w:rFonts w:eastAsia="DejaVu Sans" w:cs="Tahoma" w:ascii="Open Sans" w:hAnsi="Open Sans"/>
          <w:color w:val="000000"/>
          <w:kern w:val="2"/>
          <w:sz w:val="20"/>
          <w:szCs w:val="20"/>
          <w:lang w:val="gl-ES" w:eastAsia="zh-CN" w:bidi="gl-ES"/>
        </w:rPr>
        <w:t>a</w:t>
      </w:r>
      <w:r>
        <w:rPr>
          <w:rFonts w:eastAsia="Eurasia, Calibri" w:cs="Eurasia, Calibri" w:ascii="Open Sans" w:hAnsi="Open Sans"/>
          <w:color w:val="000000"/>
          <w:kern w:val="2"/>
          <w:sz w:val="20"/>
          <w:szCs w:val="20"/>
          <w:lang w:val="gl-ES" w:eastAsia="zh-CN" w:bidi="gl-ES"/>
        </w:rPr>
        <w:t xml:space="preserve"> evaluación es </w:t>
      </w:r>
      <w:r>
        <w:rPr>
          <w:rFonts w:eastAsia="DejaVu Sans" w:cs="Tahoma" w:ascii="Open Sans" w:hAnsi="Open Sans"/>
          <w:color w:val="000000"/>
          <w:kern w:val="2"/>
          <w:sz w:val="20"/>
          <w:szCs w:val="20"/>
          <w:lang w:val="gl-ES" w:eastAsia="zh-CN" w:bidi="gl-ES"/>
        </w:rPr>
        <w:t>conveniente</w:t>
      </w:r>
      <w:r>
        <w:rPr>
          <w:rFonts w:eastAsia="Eurasia, Calibri" w:cs="Eurasia, Calibri" w:ascii="Open Sans" w:hAnsi="Open Sans"/>
          <w:color w:val="000000"/>
          <w:kern w:val="2"/>
          <w:sz w:val="20"/>
          <w:szCs w:val="20"/>
          <w:lang w:val="gl-ES" w:eastAsia="zh-CN" w:bidi="gl-ES"/>
        </w:rPr>
        <w:t xml:space="preserve"> aportar l</w:t>
      </w:r>
      <w:r>
        <w:rPr>
          <w:rFonts w:eastAsia="DejaVu Sans" w:cs="Tahoma" w:ascii="Open Sans" w:hAnsi="Open Sans"/>
          <w:color w:val="000000"/>
          <w:kern w:val="2"/>
          <w:sz w:val="20"/>
          <w:szCs w:val="20"/>
          <w:lang w:val="gl-ES" w:eastAsia="zh-CN" w:bidi="gl-ES"/>
        </w:rPr>
        <w:t>os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informes</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de</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lesión</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si</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se</w:t>
      </w:r>
      <w:r>
        <w:rPr>
          <w:rFonts w:eastAsia="Eurasia, Calibri" w:cs="Eurasia, Calibri" w:ascii="Open Sans" w:hAnsi="Open Sans"/>
          <w:color w:val="000000"/>
          <w:kern w:val="2"/>
          <w:sz w:val="20"/>
          <w:szCs w:val="20"/>
          <w:lang w:val="gl-ES" w:eastAsia="zh-CN" w:bidi="gl-ES"/>
        </w:rPr>
        <w:t xml:space="preserve"> </w:t>
      </w:r>
      <w:r>
        <w:rPr>
          <w:rFonts w:eastAsia="DejaVu Sans" w:cs="Tahoma" w:ascii="Open Sans" w:hAnsi="Open Sans"/>
          <w:color w:val="000000"/>
          <w:kern w:val="2"/>
          <w:sz w:val="20"/>
          <w:szCs w:val="20"/>
          <w:lang w:val="gl-ES" w:eastAsia="zh-CN" w:bidi="gl-ES"/>
        </w:rPr>
        <w:t>tienen</w:t>
      </w:r>
      <w:r>
        <w:rPr>
          <w:rFonts w:eastAsia="Eurasia, Calibri" w:cs="Eurasia, Calibri" w:ascii="Open Sans" w:hAnsi="Open Sans"/>
          <w:color w:val="000000"/>
          <w:kern w:val="2"/>
          <w:sz w:val="20"/>
          <w:szCs w:val="20"/>
          <w:lang w:val="gl-ES" w:eastAsia="zh-CN" w:bidi="gl-ES"/>
        </w:rPr>
        <w:t>.</w:t>
      </w:r>
    </w:p>
    <w:p>
      <w:pPr>
        <w:pStyle w:val="Normal"/>
        <w:widowControl w:val="false"/>
        <w:suppressAutoHyphens w:val="true"/>
        <w:spacing w:lineRule="auto" w:line="276"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2.- Las marcas de inscripción, deberán haberse conseguido en competiciones oficiales, bien del calendario de la FEDDF o de la FEGAN.</w:t>
      </w:r>
    </w:p>
    <w:p>
      <w:pPr>
        <w:pStyle w:val="Normal"/>
        <w:widowControl w:val="false"/>
        <w:suppressAutoHyphens w:val="true"/>
        <w:spacing w:lineRule="auto" w:line="276" w:before="113" w:after="0"/>
        <w:ind w:left="-709" w:hanging="0"/>
        <w:textAlignment w:val="baseline"/>
        <w:rPr>
          <w:rFonts w:ascii="Open Sans" w:hAnsi="Open Sans" w:eastAsia="Eurasia, Calibri" w:cs="Eurasia, Calibri"/>
          <w:color w:val="000000"/>
          <w:kern w:val="2"/>
          <w:sz w:val="20"/>
          <w:szCs w:val="20"/>
          <w:lang w:val="gl-ES" w:eastAsia="zh-CN" w:bidi="gl-ES"/>
        </w:rPr>
      </w:pPr>
      <w:r>
        <w:rPr>
          <w:rFonts w:eastAsia="Eurasia, Calibri" w:cs="Eurasia, Calibri" w:ascii="Open Sans" w:hAnsi="Open Sans"/>
          <w:color w:val="000000"/>
          <w:kern w:val="2"/>
          <w:sz w:val="20"/>
          <w:szCs w:val="20"/>
          <w:lang w:val="gl-ES" w:eastAsia="zh-CN" w:bidi="gl-ES"/>
        </w:rPr>
        <w:t>3.- Tanto en el Campeonato Gallego cómo en las demás competiciones de la FEGAN donde participen, se aplicará por parte de los Jueces y Árbitros de la competición, las recomendaciones contempladas en el Manual de Árbitro de Natación ( CNA) en el apartado N.18 Nadadores Discapacitados</w:t>
      </w:r>
    </w:p>
    <w:p>
      <w:pPr>
        <w:pStyle w:val="Normal"/>
        <w:widowControl w:val="false"/>
        <w:suppressAutoHyphens w:val="true"/>
        <w:spacing w:lineRule="auto" w:line="276" w:before="113" w:after="0"/>
        <w:ind w:left="-709" w:hanging="0"/>
        <w:textAlignment w:val="baseline"/>
        <w:rPr/>
      </w:pPr>
      <w:hyperlink r:id="rId2">
        <w:r>
          <w:rPr>
            <w:rStyle w:val="Style"/>
            <w:rFonts w:eastAsia="DejaVu Sans" w:cs="Tahoma" w:ascii="Open Sans" w:hAnsi="Open Sans"/>
            <w:color w:val="000080"/>
            <w:kern w:val="2"/>
            <w:sz w:val="20"/>
            <w:szCs w:val="20"/>
            <w:u w:val="single"/>
            <w:lang w:val="gl-ES" w:eastAsia="zh-CN" w:bidi="gl-ES"/>
          </w:rPr>
          <w:t>http</w:t>
        </w:r>
      </w:hyperlink>
      <w:hyperlink r:id="rId3">
        <w:r>
          <w:rPr>
            <w:rStyle w:val="Style"/>
            <w:rFonts w:eastAsia="Eurasia, Calibri" w:cs="Eurasia, Calibri" w:ascii="Open Sans" w:hAnsi="Open Sans"/>
            <w:color w:val="000080"/>
            <w:kern w:val="2"/>
            <w:sz w:val="20"/>
            <w:szCs w:val="20"/>
            <w:u w:val="single"/>
            <w:lang w:val="gl-ES" w:eastAsia="zh-CN" w:bidi="gl-ES"/>
          </w:rPr>
          <w:t>://</w:t>
        </w:r>
      </w:hyperlink>
      <w:hyperlink r:id="rId4">
        <w:r>
          <w:rPr>
            <w:rStyle w:val="Style"/>
            <w:rFonts w:eastAsia="DejaVu Sans" w:cs="Tahoma" w:ascii="Open Sans" w:hAnsi="Open Sans"/>
            <w:color w:val="000080"/>
            <w:kern w:val="2"/>
            <w:sz w:val="20"/>
            <w:szCs w:val="20"/>
            <w:u w:val="single"/>
            <w:lang w:val="gl-ES" w:eastAsia="zh-CN" w:bidi="gl-ES"/>
          </w:rPr>
          <w:t>www</w:t>
        </w:r>
      </w:hyperlink>
      <w:hyperlink r:id="rId5">
        <w:r>
          <w:rPr>
            <w:rStyle w:val="Style"/>
            <w:rFonts w:eastAsia="Eurasia, Calibri" w:cs="Eurasia, Calibri" w:ascii="Open Sans" w:hAnsi="Open Sans"/>
            <w:color w:val="000080"/>
            <w:kern w:val="2"/>
            <w:sz w:val="20"/>
            <w:szCs w:val="20"/>
            <w:u w:val="single"/>
            <w:lang w:val="gl-ES" w:eastAsia="zh-CN" w:bidi="gl-ES"/>
          </w:rPr>
          <w:t>.</w:t>
        </w:r>
      </w:hyperlink>
      <w:hyperlink r:id="rId6">
        <w:r>
          <w:rPr>
            <w:rStyle w:val="Style"/>
            <w:rFonts w:eastAsia="DejaVu Sans" w:cs="Tahoma" w:ascii="Open Sans" w:hAnsi="Open Sans"/>
            <w:color w:val="000080"/>
            <w:kern w:val="2"/>
            <w:sz w:val="20"/>
            <w:szCs w:val="20"/>
            <w:u w:val="single"/>
            <w:lang w:val="gl-ES" w:eastAsia="zh-CN" w:bidi="gl-ES"/>
          </w:rPr>
          <w:t>fegan</w:t>
        </w:r>
      </w:hyperlink>
      <w:hyperlink r:id="rId7">
        <w:r>
          <w:rPr>
            <w:rStyle w:val="Style"/>
            <w:rFonts w:eastAsia="Eurasia, Calibri" w:cs="Eurasia, Calibri" w:ascii="Open Sans" w:hAnsi="Open Sans"/>
            <w:color w:val="000080"/>
            <w:kern w:val="2"/>
            <w:sz w:val="20"/>
            <w:szCs w:val="20"/>
            <w:u w:val="single"/>
            <w:lang w:val="gl-ES" w:eastAsia="zh-CN" w:bidi="gl-ES"/>
          </w:rPr>
          <w:t>.</w:t>
        </w:r>
      </w:hyperlink>
      <w:hyperlink r:id="rId8">
        <w:r>
          <w:rPr>
            <w:rStyle w:val="Style"/>
            <w:rFonts w:eastAsia="DejaVu Sans" w:cs="Tahoma" w:ascii="Open Sans" w:hAnsi="Open Sans"/>
            <w:color w:val="000080"/>
            <w:kern w:val="2"/>
            <w:sz w:val="20"/>
            <w:szCs w:val="20"/>
            <w:u w:val="single"/>
            <w:lang w:val="gl-ES" w:eastAsia="zh-CN" w:bidi="gl-ES"/>
          </w:rPr>
          <w:t>org</w:t>
        </w:r>
      </w:hyperlink>
      <w:hyperlink r:id="rId9">
        <w:r>
          <w:rPr>
            <w:rStyle w:val="Style"/>
            <w:rFonts w:eastAsia="Eurasia, Calibri" w:cs="Eurasia, Calibri" w:ascii="Open Sans" w:hAnsi="Open Sans"/>
            <w:color w:val="000080"/>
            <w:kern w:val="2"/>
            <w:sz w:val="20"/>
            <w:szCs w:val="20"/>
            <w:u w:val="single"/>
            <w:lang w:val="gl-ES" w:eastAsia="zh-CN" w:bidi="gl-ES"/>
          </w:rPr>
          <w:t>/</w:t>
        </w:r>
      </w:hyperlink>
      <w:hyperlink r:id="rId10">
        <w:r>
          <w:rPr>
            <w:rStyle w:val="Style"/>
            <w:rFonts w:eastAsia="DejaVu Sans" w:cs="Tahoma" w:ascii="Open Sans" w:hAnsi="Open Sans"/>
            <w:color w:val="000080"/>
            <w:kern w:val="2"/>
            <w:sz w:val="20"/>
            <w:szCs w:val="20"/>
            <w:u w:val="single"/>
            <w:lang w:val="gl-ES" w:eastAsia="zh-CN" w:bidi="gl-ES"/>
          </w:rPr>
          <w:t>cms</w:t>
        </w:r>
      </w:hyperlink>
      <w:hyperlink r:id="rId11">
        <w:r>
          <w:rPr>
            <w:rStyle w:val="Style"/>
            <w:rFonts w:eastAsia="Eurasia, Calibri" w:cs="Eurasia, Calibri" w:ascii="Open Sans" w:hAnsi="Open Sans"/>
            <w:color w:val="000080"/>
            <w:kern w:val="2"/>
            <w:sz w:val="20"/>
            <w:szCs w:val="20"/>
            <w:u w:val="single"/>
            <w:lang w:val="gl-ES" w:eastAsia="zh-CN" w:bidi="gl-ES"/>
          </w:rPr>
          <w:t>/</w:t>
        </w:r>
      </w:hyperlink>
      <w:hyperlink r:id="rId12">
        <w:r>
          <w:rPr>
            <w:rStyle w:val="Style"/>
            <w:rFonts w:eastAsia="DejaVu Sans" w:cs="Tahoma" w:ascii="Open Sans" w:hAnsi="Open Sans"/>
            <w:color w:val="000080"/>
            <w:kern w:val="2"/>
            <w:sz w:val="20"/>
            <w:szCs w:val="20"/>
            <w:u w:val="single"/>
            <w:lang w:val="gl-ES" w:eastAsia="zh-CN" w:bidi="gl-ES"/>
          </w:rPr>
          <w:t>content</w:t>
        </w:r>
      </w:hyperlink>
      <w:hyperlink r:id="rId13">
        <w:r>
          <w:rPr>
            <w:rStyle w:val="Style"/>
            <w:rFonts w:eastAsia="Eurasia, Calibri" w:cs="Eurasia, Calibri" w:ascii="Open Sans" w:hAnsi="Open Sans"/>
            <w:color w:val="000080"/>
            <w:kern w:val="2"/>
            <w:sz w:val="20"/>
            <w:szCs w:val="20"/>
            <w:u w:val="single"/>
            <w:lang w:val="gl-ES" w:eastAsia="zh-CN" w:bidi="gl-ES"/>
          </w:rPr>
          <w:t>/</w:t>
        </w:r>
      </w:hyperlink>
      <w:hyperlink r:id="rId14">
        <w:r>
          <w:rPr>
            <w:rStyle w:val="Style"/>
            <w:rFonts w:eastAsia="DejaVu Sans" w:cs="Tahoma" w:ascii="Open Sans" w:hAnsi="Open Sans"/>
            <w:color w:val="000080"/>
            <w:kern w:val="2"/>
            <w:sz w:val="20"/>
            <w:szCs w:val="20"/>
            <w:u w:val="single"/>
            <w:lang w:val="gl-ES" w:eastAsia="zh-CN" w:bidi="gl-ES"/>
          </w:rPr>
          <w:t>view</w:t>
        </w:r>
      </w:hyperlink>
      <w:hyperlink r:id="rId15">
        <w:r>
          <w:rPr>
            <w:rStyle w:val="Style"/>
            <w:rFonts w:eastAsia="Eurasia, Calibri" w:cs="Eurasia, Calibri" w:ascii="Open Sans" w:hAnsi="Open Sans"/>
            <w:color w:val="000080"/>
            <w:kern w:val="2"/>
            <w:sz w:val="20"/>
            <w:szCs w:val="20"/>
            <w:u w:val="single"/>
            <w:lang w:val="gl-ES" w:eastAsia="zh-CN" w:bidi="gl-ES"/>
          </w:rPr>
          <w:t>/4/5/</w:t>
        </w:r>
      </w:hyperlink>
    </w:p>
    <w:p>
      <w:pPr>
        <w:pStyle w:val="Normal"/>
        <w:widowControl w:val="false"/>
        <w:suppressAutoHyphens w:val="true"/>
        <w:spacing w:lineRule="auto" w:line="240"/>
        <w:ind w:left="-709" w:hanging="0"/>
        <w:textAlignment w:val="baseline"/>
        <w:rPr>
          <w:rFonts w:ascii="Liberation Serif" w:hAnsi="Liberation Serif" w:eastAsia="NSimSun" w:cs="Arial"/>
          <w:kern w:val="2"/>
          <w:szCs w:val="24"/>
          <w:lang w:eastAsia="zh-CN" w:bidi="hi-IN"/>
        </w:rPr>
      </w:pPr>
      <w:r>
        <w:rPr>
          <w:rFonts w:eastAsia="Eurasia, Calibri" w:cs="Eurasia, Calibri" w:ascii="Open Sans" w:hAnsi="Open Sans"/>
          <w:kern w:val="2"/>
          <w:sz w:val="20"/>
          <w:szCs w:val="20"/>
          <w:lang w:eastAsia="zh-CN" w:bidi="hi-IN"/>
        </w:rPr>
        <w:t>4.- En el momento de tramitar la licencia de deportista, deberá advertirse que se trata de un nadador con discapacidad.</w:t>
      </w:r>
      <w:r>
        <w:rPr>
          <w:rFonts w:eastAsia="Eurasia, Calibri" w:cs="Eurasia, Calibri" w:ascii="Liberation Serif" w:hAnsi="Liberation Serif"/>
          <w:kern w:val="2"/>
          <w:szCs w:val="24"/>
          <w:lang w:eastAsia="zh-CN" w:bidi="hi-IN"/>
        </w:rPr>
        <w:br/>
        <w:br/>
      </w:r>
    </w:p>
    <w:p>
      <w:pPr>
        <w:pStyle w:val="Normal"/>
        <w:rPr/>
      </w:pPr>
      <w:r>
        <w:rPr/>
      </w:r>
    </w:p>
    <w:sectPr>
      <w:headerReference w:type="default" r:id="rId16"/>
      <w:footerReference w:type="default" r:id="rId17"/>
      <w:type w:val="nextPage"/>
      <w:pgSz w:w="11906" w:h="16838"/>
      <w:pgMar w:left="1701" w:right="170" w:header="794" w:top="1134" w:footer="51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pen San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252" w:leader="none"/>
        <w:tab w:val="right" w:pos="8504" w:leader="none"/>
      </w:tabs>
      <w:rPr/>
    </w:pPr>
    <w:r>
      <mc:AlternateContent>
        <mc:Choice Requires="wps">
          <w:drawing>
            <wp:anchor behindDoc="1" distT="0" distB="0" distL="0" distR="0" simplePos="0" locked="0" layoutInCell="1" allowOverlap="1" relativeHeight="25" wp14:anchorId="1EB3A452">
              <wp:simplePos x="0" y="0"/>
              <wp:positionH relativeFrom="column">
                <wp:posOffset>1470025</wp:posOffset>
              </wp:positionH>
              <wp:positionV relativeFrom="paragraph">
                <wp:posOffset>45085</wp:posOffset>
              </wp:positionV>
              <wp:extent cx="2595880" cy="279400"/>
              <wp:effectExtent l="0" t="0" r="0" b="0"/>
              <wp:wrapNone/>
              <wp:docPr id="5" name="Cuadro de texto 6"/>
              <a:graphic xmlns:a="http://schemas.openxmlformats.org/drawingml/2006/main">
                <a:graphicData uri="http://schemas.microsoft.com/office/word/2010/wordprocessingShape">
                  <wps:wsp>
                    <wps:cNvSpPr/>
                    <wps:spPr>
                      <a:xfrm>
                        <a:off x="0" y="0"/>
                        <a:ext cx="2595240" cy="278640"/>
                      </a:xfrm>
                      <a:prstGeom prst="rect">
                        <a:avLst/>
                      </a:prstGeom>
                      <a:noFill/>
                      <a:ln>
                        <a:noFill/>
                      </a:ln>
                    </wps:spPr>
                    <wps:style>
                      <a:lnRef idx="0"/>
                      <a:fillRef idx="0"/>
                      <a:effectRef idx="0"/>
                      <a:fontRef idx="minor"/>
                    </wps:style>
                    <wps:txbx>
                      <w:txbxContent>
                        <w:p>
                          <w:pPr>
                            <w:pStyle w:val="Standard"/>
                            <w:jc w:val="right"/>
                            <w:rPr>
                              <w:rFonts w:ascii="Open Sans" w:hAnsi="Open Sans" w:cs="Open Sans"/>
                              <w:sz w:val="16"/>
                              <w:szCs w:val="16"/>
                            </w:rPr>
                          </w:pPr>
                          <w:r>
                            <w:rPr>
                              <w:rFonts w:cs="Open Sans" w:ascii="Open Sans" w:hAnsi="Open Sans"/>
                              <w:color w:val="000000"/>
                              <w:sz w:val="16"/>
                              <w:szCs w:val="16"/>
                            </w:rPr>
                            <w:tab/>
                            <w:tab/>
                            <w:tab/>
                            <w:tab/>
                            <w:t>Avenida de Glasgow, 13  | 15008 - A Coruña  |  Tel. 981 174377</w:t>
                          </w:r>
                        </w:p>
                        <w:p>
                          <w:pPr>
                            <w:pStyle w:val="Standard"/>
                            <w:jc w:val="right"/>
                            <w:rPr>
                              <w:rFonts w:ascii="Open Sans" w:hAnsi="Open Sans" w:cs="Open Sans"/>
                              <w:b/>
                              <w:b/>
                              <w:bCs/>
                              <w:sz w:val="16"/>
                              <w:szCs w:val="16"/>
                            </w:rPr>
                          </w:pPr>
                          <w:r>
                            <w:rPr>
                              <w:rFonts w:cs="Open San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Cuadro de texto 6" stroked="f" style="position:absolute;margin-left:115.75pt;margin-top:3.55pt;width:204.3pt;height:21.9pt" wp14:anchorId="1EB3A452">
              <w10:wrap type="square"/>
              <v:fill o:detectmouseclick="t" on="false"/>
              <v:stroke color="#3465a4" joinstyle="round" endcap="flat"/>
              <v:textbox>
                <w:txbxContent>
                  <w:p>
                    <w:pPr>
                      <w:pStyle w:val="Standard"/>
                      <w:jc w:val="right"/>
                      <w:rPr>
                        <w:rFonts w:ascii="Open Sans" w:hAnsi="Open Sans" w:cs="Open Sans"/>
                        <w:sz w:val="16"/>
                        <w:szCs w:val="16"/>
                      </w:rPr>
                    </w:pPr>
                    <w:r>
                      <w:rPr>
                        <w:rFonts w:cs="Open Sans" w:ascii="Open Sans" w:hAnsi="Open Sans"/>
                        <w:color w:val="000000"/>
                        <w:sz w:val="16"/>
                        <w:szCs w:val="16"/>
                      </w:rPr>
                      <w:tab/>
                      <w:tab/>
                      <w:tab/>
                      <w:tab/>
                      <w:t>Avenida de Glasgow, 13  | 15008 - A Coruña  |  Tel. 981 174377</w:t>
                    </w:r>
                  </w:p>
                  <w:p>
                    <w:pPr>
                      <w:pStyle w:val="Standard"/>
                      <w:jc w:val="right"/>
                      <w:rPr>
                        <w:rFonts w:ascii="Open Sans" w:hAnsi="Open Sans" w:cs="Open Sans"/>
                        <w:b/>
                        <w:b/>
                        <w:bCs/>
                        <w:sz w:val="16"/>
                        <w:szCs w:val="16"/>
                      </w:rPr>
                    </w:pPr>
                    <w:r>
                      <w:rPr>
                        <w:rFonts w:cs="Open Sans" w:ascii="Open Sans" w:hAnsi="Open Sans"/>
                        <w:b/>
                        <w:bCs/>
                        <w:color w:val="000000"/>
                        <w:sz w:val="16"/>
                        <w:szCs w:val="16"/>
                      </w:rPr>
                      <w:t>www.fegan.org - info@fegan.org</w:t>
                    </w:r>
                  </w:p>
                </w:txbxContent>
              </v:textbox>
            </v:rect>
          </w:pict>
        </mc:Fallback>
      </mc:AlternateContent>
    </w:r>
    <w:r>
      <w:rPr>
        <w:rFonts w:cs="Open Sans" w:ascii="Open Sans" w:hAnsi="Open Sans"/>
        <w:i/>
        <w:sz w:val="16"/>
        <w:szCs w:val="21"/>
      </w:rPr>
      <w:fldChar w:fldCharType="begin"/>
    </w:r>
    <w:r>
      <w:rPr>
        <w:sz w:val="16"/>
        <w:i/>
        <w:szCs w:val="21"/>
        <w:rFonts w:cs="Open Sans" w:ascii="Open Sans" w:hAnsi="Open Sans"/>
      </w:rPr>
      <w:instrText> PAGE </w:instrText>
    </w:r>
    <w:r>
      <w:rPr>
        <w:sz w:val="16"/>
        <w:i/>
        <w:szCs w:val="21"/>
        <w:rFonts w:cs="Open Sans" w:ascii="Open Sans" w:hAnsi="Open Sans"/>
      </w:rPr>
      <w:fldChar w:fldCharType="separate"/>
    </w:r>
    <w:r>
      <w:rPr>
        <w:sz w:val="16"/>
        <w:i/>
        <w:szCs w:val="21"/>
        <w:rFonts w:cs="Open Sans" w:ascii="Open Sans" w:hAnsi="Open Sans"/>
      </w:rPr>
      <w:t>6</w:t>
    </w:r>
    <w:r>
      <w:rPr>
        <w:sz w:val="16"/>
        <w:i/>
        <w:szCs w:val="21"/>
        <w:rFonts w:cs="Open Sans" w:ascii="Open Sans" w:hAnsi="Open Sans"/>
      </w:rPr>
      <w:fldChar w:fldCharType="end"/>
    </w:r>
    <w:r>
      <w:rPr>
        <w:rFonts w:eastAsia="Open Sans" w:cs="Open Sans" w:ascii="Open Sans" w:hAnsi="Open Sans"/>
        <w:sz w:val="16"/>
        <w:szCs w:val="21"/>
      </w:rPr>
      <w:t xml:space="preserve"> </w:t>
    </w:r>
    <w:r>
      <w:rPr>
        <w:rFonts w:cs="Open Sans" w:ascii="Open Sans" w:hAnsi="Open Sans"/>
        <w:sz w:val="16"/>
        <w:szCs w:val="21"/>
      </w:rPr>
      <w:t xml:space="preserve">/ </w:t>
    </w:r>
    <w:r>
      <w:rPr>
        <w:rFonts w:cs="Open Sans" w:ascii="Open Sans" w:hAnsi="Open Sans"/>
        <w:i/>
        <w:sz w:val="16"/>
        <w:szCs w:val="21"/>
      </w:rPr>
      <w:fldChar w:fldCharType="begin"/>
    </w:r>
    <w:r>
      <w:rPr>
        <w:sz w:val="16"/>
        <w:i/>
        <w:szCs w:val="21"/>
        <w:rFonts w:cs="Open Sans" w:ascii="Open Sans" w:hAnsi="Open Sans"/>
      </w:rPr>
      <w:instrText> NUMPAGES </w:instrText>
    </w:r>
    <w:r>
      <w:rPr>
        <w:sz w:val="16"/>
        <w:i/>
        <w:szCs w:val="21"/>
        <w:rFonts w:cs="Open Sans" w:ascii="Open Sans" w:hAnsi="Open Sans"/>
      </w:rPr>
      <w:fldChar w:fldCharType="separate"/>
    </w:r>
    <w:r>
      <w:rPr>
        <w:sz w:val="16"/>
        <w:i/>
        <w:szCs w:val="21"/>
        <w:rFonts w:cs="Open Sans" w:ascii="Open Sans" w:hAnsi="Open Sans"/>
      </w:rPr>
      <w:t>6</w:t>
    </w:r>
    <w:r>
      <w:rPr>
        <w:sz w:val="16"/>
        <w:i/>
        <w:szCs w:val="21"/>
        <w:rFonts w:cs="Open Sans" w:ascii="Open Sans" w:hAnsi="Open Sans"/>
      </w:rPr>
      <w:fldChar w:fldCharType="end"/>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LineNumbers/>
      <w:tabs>
        <w:tab w:val="clear" w:pos="708"/>
        <w:tab w:val="center" w:pos="4819" w:leader="none"/>
        <w:tab w:val="right" w:pos="9638" w:leader="none"/>
      </w:tabs>
      <w:suppressAutoHyphens w:val="true"/>
      <w:spacing w:lineRule="auto" w:line="240"/>
      <w:textAlignment w:val="baseline"/>
      <w:rPr>
        <w:rFonts w:ascii="Liberation Serif" w:hAnsi="Liberation Serif" w:eastAsia="NSimSun" w:cs="Arial"/>
        <w:kern w:val="2"/>
        <w:szCs w:val="24"/>
        <w:lang w:eastAsia="zh-CN" w:bidi="hi-IN"/>
      </w:rPr>
    </w:pPr>
    <w:r>
      <w:rPr>
        <w:rFonts w:eastAsia="NSimSun" w:cs="Arial" w:ascii="Liberation Serif" w:hAnsi="Liberation Serif"/>
        <w:kern w:val="2"/>
        <w:szCs w:val="24"/>
        <w:lang w:eastAsia="zh-CN" w:bidi="hi-IN"/>
      </w:rPr>
      <mc:AlternateContent>
        <mc:Choice Requires="wps">
          <w:drawing>
            <wp:anchor behindDoc="1" distT="0" distB="0" distL="0" distR="0" simplePos="0" locked="0" layoutInCell="1" allowOverlap="1" relativeHeight="7" wp14:anchorId="7C9E61E1">
              <wp:simplePos x="0" y="0"/>
              <wp:positionH relativeFrom="column">
                <wp:posOffset>184150</wp:posOffset>
              </wp:positionH>
              <wp:positionV relativeFrom="paragraph">
                <wp:posOffset>-266065</wp:posOffset>
              </wp:positionV>
              <wp:extent cx="1478280" cy="372110"/>
              <wp:effectExtent l="0" t="0" r="1270" b="10160"/>
              <wp:wrapNone/>
              <wp:docPr id="1" name="Cuadro de texto 4"/>
              <a:graphic xmlns:a="http://schemas.openxmlformats.org/drawingml/2006/main">
                <a:graphicData uri="http://schemas.microsoft.com/office/word/2010/wordprocessingShape">
                  <wps:wsp>
                    <wps:cNvSpPr/>
                    <wps:spPr>
                      <a:xfrm>
                        <a:off x="0" y="0"/>
                        <a:ext cx="1477800" cy="37152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4" stroked="f" style="position:absolute;margin-left:14.5pt;margin-top:-20.95pt;width:116.3pt;height:29.2pt" wp14:anchorId="7C9E61E1">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13">
          <wp:simplePos x="0" y="0"/>
          <wp:positionH relativeFrom="column">
            <wp:posOffset>-898525</wp:posOffset>
          </wp:positionH>
          <wp:positionV relativeFrom="paragraph">
            <wp:posOffset>-288290</wp:posOffset>
          </wp:positionV>
          <wp:extent cx="1089660" cy="718185"/>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89660" cy="718185"/>
                  </a:xfrm>
                  <a:prstGeom prst="rect">
                    <a:avLst/>
                  </a:prstGeom>
                </pic:spPr>
              </pic:pic>
            </a:graphicData>
          </a:graphic>
        </wp:anchor>
      </w:drawing>
      <w:drawing>
        <wp:anchor behindDoc="1" distT="0" distB="0" distL="114300" distR="114300" simplePos="0" locked="0" layoutInCell="1" allowOverlap="1" relativeHeight="19">
          <wp:simplePos x="0" y="0"/>
          <wp:positionH relativeFrom="column">
            <wp:posOffset>4251960</wp:posOffset>
          </wp:positionH>
          <wp:positionV relativeFrom="paragraph">
            <wp:posOffset>-227965</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360" w:before="0" w:after="0"/>
      <w:jc w:val="both"/>
    </w:pPr>
    <w:rPr>
      <w:rFonts w:ascii="Times New Roman" w:hAnsi="Times New Roman" w:eastAsia="Calibri" w:cs="Times New Roman" w:eastAsiaTheme="minorHAnsi"/>
      <w:color w:val="auto"/>
      <w:kern w:val="0"/>
      <w:sz w:val="24"/>
      <w:szCs w:val="22"/>
      <w:lang w:val="es-ES"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80142f"/>
    <w:rPr/>
  </w:style>
  <w:style w:type="character" w:styleId="PiedepginaCar" w:customStyle="1">
    <w:name w:val="Pie de página Car"/>
    <w:basedOn w:val="DefaultParagraphFont"/>
    <w:link w:val="Piedepgina"/>
    <w:uiPriority w:val="99"/>
    <w:qFormat/>
    <w:rsid w:val="0080142f"/>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Cabecera">
    <w:name w:val="Header"/>
    <w:basedOn w:val="Normal"/>
    <w:link w:val="EncabezadoCar"/>
    <w:uiPriority w:val="99"/>
    <w:unhideWhenUsed/>
    <w:rsid w:val="0080142f"/>
    <w:pPr>
      <w:tabs>
        <w:tab w:val="clear" w:pos="708"/>
        <w:tab w:val="center" w:pos="4252" w:leader="none"/>
        <w:tab w:val="right" w:pos="8504" w:leader="none"/>
      </w:tabs>
      <w:spacing w:lineRule="auto" w:line="240"/>
    </w:pPr>
    <w:rPr/>
  </w:style>
  <w:style w:type="paragraph" w:styleId="Piedepgina">
    <w:name w:val="Footer"/>
    <w:basedOn w:val="Normal"/>
    <w:link w:val="PiedepginaCar"/>
    <w:uiPriority w:val="99"/>
    <w:unhideWhenUsed/>
    <w:rsid w:val="0080142f"/>
    <w:pPr>
      <w:tabs>
        <w:tab w:val="clear" w:pos="708"/>
        <w:tab w:val="center" w:pos="4252" w:leader="none"/>
        <w:tab w:val="right" w:pos="8504" w:leader="none"/>
      </w:tabs>
      <w:spacing w:lineRule="auto" w:line="240"/>
    </w:pPr>
    <w:rPr/>
  </w:style>
  <w:style w:type="paragraph" w:styleId="Standard" w:customStyle="1">
    <w:name w:val="Standard"/>
    <w:qFormat/>
    <w:rsid w:val="00200f1f"/>
    <w:pPr>
      <w:widowControl/>
      <w:suppressAutoHyphens w:val="true"/>
      <w:bidi w:val="0"/>
      <w:spacing w:lineRule="auto" w:line="240" w:before="0" w:after="0"/>
      <w:jc w:val="left"/>
      <w:textAlignment w:val="baseline"/>
    </w:pPr>
    <w:rPr>
      <w:rFonts w:ascii="Times New Roman" w:hAnsi="Times New Roman" w:eastAsia="Tahoma" w:cs="Tahoma"/>
      <w:color w:val="auto"/>
      <w:kern w:val="2"/>
      <w:sz w:val="24"/>
      <w:szCs w:val="24"/>
      <w:lang w:val="gl-ES" w:eastAsia="zh-CN" w:bidi="es-ES"/>
      <w14:ligatures w14:val="standardContextual"/>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fegan.org/cms/content/view/4/5/" TargetMode="External"/><Relationship Id="rId3" Type="http://schemas.openxmlformats.org/officeDocument/2006/relationships/hyperlink" Target="http://www.fegan.org/cms/content/view/4/5/" TargetMode="External"/><Relationship Id="rId4" Type="http://schemas.openxmlformats.org/officeDocument/2006/relationships/hyperlink" Target="http://www.fegan.org/cms/content/view/4/5/" TargetMode="External"/><Relationship Id="rId5" Type="http://schemas.openxmlformats.org/officeDocument/2006/relationships/hyperlink" Target="http://www.fegan.org/cms/content/view/4/5/" TargetMode="External"/><Relationship Id="rId6" Type="http://schemas.openxmlformats.org/officeDocument/2006/relationships/hyperlink" Target="http://www.fegan.org/cms/content/view/4/5/" TargetMode="External"/><Relationship Id="rId7" Type="http://schemas.openxmlformats.org/officeDocument/2006/relationships/hyperlink" Target="http://www.fegan.org/cms/content/view/4/5/" TargetMode="External"/><Relationship Id="rId8" Type="http://schemas.openxmlformats.org/officeDocument/2006/relationships/hyperlink" Target="http://www.fegan.org/cms/content/view/4/5/" TargetMode="External"/><Relationship Id="rId9" Type="http://schemas.openxmlformats.org/officeDocument/2006/relationships/hyperlink" Target="http://www.fegan.org/cms/content/view/4/5/" TargetMode="External"/><Relationship Id="rId10" Type="http://schemas.openxmlformats.org/officeDocument/2006/relationships/hyperlink" Target="http://www.fegan.org/cms/content/view/4/5/" TargetMode="External"/><Relationship Id="rId11" Type="http://schemas.openxmlformats.org/officeDocument/2006/relationships/hyperlink" Target="http://www.fegan.org/cms/content/view/4/5/" TargetMode="External"/><Relationship Id="rId12" Type="http://schemas.openxmlformats.org/officeDocument/2006/relationships/hyperlink" Target="http://www.fegan.org/cms/content/view/4/5/" TargetMode="External"/><Relationship Id="rId13" Type="http://schemas.openxmlformats.org/officeDocument/2006/relationships/hyperlink" Target="http://www.fegan.org/cms/content/view/4/5/" TargetMode="External"/><Relationship Id="rId14" Type="http://schemas.openxmlformats.org/officeDocument/2006/relationships/hyperlink" Target="http://www.fegan.org/cms/content/view/4/5/" TargetMode="External"/><Relationship Id="rId15" Type="http://schemas.openxmlformats.org/officeDocument/2006/relationships/hyperlink" Target="http://www.fegan.org/cms/content/view/4/5/"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Relationship Id="rId2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81558-7F79-4DF7-9962-F0466FFE5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Application>LibreOffice/6.3.6.2$Windows_X86_64 LibreOffice_project/2196df99b074d8a661f4036fca8fa0cbfa33a497</Application>
  <Pages>6</Pages>
  <Words>1496</Words>
  <Characters>7478</Characters>
  <CharactersWithSpaces>8807</CharactersWithSpaces>
  <Paragraphs>182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2024-02-28T17:04:00Z</dcterms:created>
  <dc:creator>Nélida</dc:creator>
  <dc:description/>
  <dc:language>es-ES</dc:language>
  <cp:lastModifiedBy/>
  <dcterms:modified xsi:type="dcterms:W3CDTF">2024-05-20T07:30:11Z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